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1540" w:rsidRDefault="00C41540" w:rsidP="00C41540"/>
    <w:p w:rsidR="00C41540" w:rsidRPr="00C41540" w:rsidRDefault="00C41540" w:rsidP="00C41540">
      <w:pPr>
        <w:pBdr>
          <w:bottom w:val="single" w:sz="6" w:space="1" w:color="auto"/>
        </w:pBdr>
        <w:jc w:val="center"/>
        <w:rPr>
          <w:rFonts w:ascii="Bookman Old Style" w:hAnsi="Bookman Old Style" w:cs="Times New Roman"/>
          <w:b/>
          <w:sz w:val="28"/>
          <w:lang w:val="en-US"/>
        </w:rPr>
      </w:pPr>
      <w:r w:rsidRPr="00C41540">
        <w:rPr>
          <w:rFonts w:ascii="Bookman Old Style" w:hAnsi="Bookman Old Style" w:cs="Times New Roman"/>
          <w:b/>
          <w:sz w:val="28"/>
          <w:lang w:val="en-US"/>
        </w:rPr>
        <w:t>Questionnaire for Members on Protection of Personal Data Bill, 2018</w:t>
      </w:r>
    </w:p>
    <w:p w:rsidR="00C41540" w:rsidRPr="00C41540" w:rsidRDefault="00C41540" w:rsidP="00C41540">
      <w:pPr>
        <w:ind w:right="-46"/>
        <w:jc w:val="both"/>
        <w:rPr>
          <w:rFonts w:ascii="Times New Roman" w:hAnsi="Times New Roman" w:cs="Times New Roman"/>
          <w:b/>
          <w:u w:val="single"/>
          <w:lang w:val="en-US"/>
        </w:rPr>
      </w:pPr>
    </w:p>
    <w:p w:rsidR="00C41540" w:rsidRPr="00C41540" w:rsidRDefault="00C41540" w:rsidP="00C41540">
      <w:pPr>
        <w:ind w:right="-46"/>
        <w:jc w:val="both"/>
        <w:rPr>
          <w:rFonts w:ascii="Times New Roman" w:hAnsi="Times New Roman" w:cs="Times New Roman"/>
          <w:b/>
          <w:lang w:val="en-US"/>
        </w:rPr>
      </w:pPr>
      <w:r w:rsidRPr="00C41540">
        <w:rPr>
          <w:rFonts w:ascii="Times New Roman" w:hAnsi="Times New Roman" w:cs="Times New Roman"/>
          <w:b/>
          <w:lang w:val="en-US"/>
        </w:rPr>
        <w:t>Background</w:t>
      </w:r>
    </w:p>
    <w:p w:rsidR="00C41540" w:rsidRPr="00C41540" w:rsidRDefault="00C41540" w:rsidP="00C41540">
      <w:pPr>
        <w:ind w:right="-46"/>
        <w:jc w:val="both"/>
        <w:rPr>
          <w:rFonts w:ascii="Times New Roman" w:hAnsi="Times New Roman" w:cs="Times New Roman"/>
          <w:lang w:val="en-US"/>
        </w:rPr>
      </w:pPr>
      <w:r w:rsidRPr="00C41540">
        <w:rPr>
          <w:rFonts w:ascii="Times New Roman" w:hAnsi="Times New Roman" w:cs="Times New Roman"/>
          <w:lang w:val="en-US"/>
        </w:rPr>
        <w:t>The recent recommendations of the Committee of Experts chaired by Justice B.N. Srikrishna (</w:t>
      </w:r>
      <w:r w:rsidRPr="00C41540">
        <w:rPr>
          <w:rFonts w:ascii="Times New Roman" w:hAnsi="Times New Roman" w:cs="Times New Roman"/>
          <w:b/>
          <w:lang w:val="en-US"/>
        </w:rPr>
        <w:t>Srikrishna Committee</w:t>
      </w:r>
      <w:r w:rsidRPr="00C41540">
        <w:rPr>
          <w:rFonts w:ascii="Times New Roman" w:hAnsi="Times New Roman" w:cs="Times New Roman"/>
          <w:lang w:val="en-US"/>
        </w:rPr>
        <w:t>) and the accompanying draft Personal Data Protection Bill, 2018 (</w:t>
      </w:r>
      <w:r w:rsidRPr="00C41540">
        <w:rPr>
          <w:rFonts w:ascii="Times New Roman" w:hAnsi="Times New Roman" w:cs="Times New Roman"/>
          <w:b/>
          <w:lang w:val="en-US"/>
        </w:rPr>
        <w:t>Bill</w:t>
      </w:r>
      <w:r w:rsidRPr="00C41540">
        <w:rPr>
          <w:rFonts w:ascii="Times New Roman" w:hAnsi="Times New Roman" w:cs="Times New Roman"/>
          <w:lang w:val="en-US"/>
        </w:rPr>
        <w:t xml:space="preserve">) try to </w:t>
      </w:r>
      <w:proofErr w:type="gramStart"/>
      <w:r w:rsidRPr="00C41540">
        <w:rPr>
          <w:rFonts w:ascii="Times New Roman" w:hAnsi="Times New Roman" w:cs="Times New Roman"/>
          <w:lang w:val="en-US"/>
        </w:rPr>
        <w:t>provide</w:t>
      </w:r>
      <w:proofErr w:type="gramEnd"/>
      <w:r w:rsidRPr="00C41540">
        <w:rPr>
          <w:rFonts w:ascii="Times New Roman" w:hAnsi="Times New Roman" w:cs="Times New Roman"/>
          <w:lang w:val="en-US"/>
        </w:rPr>
        <w:t xml:space="preserve"> a framework for the protection of personal data of consumers or “data principals” in India.</w:t>
      </w:r>
    </w:p>
    <w:p w:rsidR="00C41540" w:rsidRPr="00C41540" w:rsidRDefault="00C41540" w:rsidP="00C41540">
      <w:pPr>
        <w:ind w:right="-46"/>
        <w:jc w:val="both"/>
        <w:rPr>
          <w:rFonts w:ascii="Times New Roman" w:hAnsi="Times New Roman" w:cs="Times New Roman"/>
          <w:lang w:val="en-US"/>
        </w:rPr>
      </w:pPr>
      <w:r w:rsidRPr="00C41540">
        <w:rPr>
          <w:rFonts w:ascii="Times New Roman" w:hAnsi="Times New Roman" w:cs="Times New Roman"/>
          <w:lang w:val="en-US"/>
        </w:rPr>
        <w:t xml:space="preserve">Amongst the other provisions, the Report of the Srikrishna Committee and the Bill, envisage localization requirement for certain categories of data. For such categories, either a serving copy of personal data collected </w:t>
      </w:r>
      <w:proofErr w:type="gramStart"/>
      <w:r w:rsidRPr="00C41540">
        <w:rPr>
          <w:rFonts w:ascii="Times New Roman" w:hAnsi="Times New Roman" w:cs="Times New Roman"/>
          <w:lang w:val="en-US"/>
        </w:rPr>
        <w:t>has to</w:t>
      </w:r>
      <w:proofErr w:type="gramEnd"/>
      <w:r w:rsidRPr="00C41540">
        <w:rPr>
          <w:rFonts w:ascii="Times New Roman" w:hAnsi="Times New Roman" w:cs="Times New Roman"/>
          <w:lang w:val="en-US"/>
        </w:rPr>
        <w:t xml:space="preserve"> be stored locally on Indian servers, or for certain other notified categories, data has to be stored as well as processed on Indian servers. </w:t>
      </w:r>
    </w:p>
    <w:p w:rsidR="00C41540" w:rsidRPr="00C41540" w:rsidRDefault="00C41540" w:rsidP="00C41540">
      <w:pPr>
        <w:ind w:right="-46"/>
        <w:jc w:val="both"/>
        <w:rPr>
          <w:rFonts w:ascii="Times New Roman" w:hAnsi="Times New Roman" w:cs="Times New Roman"/>
          <w:lang w:val="en-US"/>
        </w:rPr>
      </w:pPr>
      <w:r w:rsidRPr="00C41540">
        <w:rPr>
          <w:rFonts w:ascii="Times New Roman" w:hAnsi="Times New Roman" w:cs="Times New Roman"/>
          <w:lang w:val="en-US"/>
        </w:rPr>
        <w:t xml:space="preserve">In this context, NASSCOM is conducting a brief survey amongst its members to gauge the opinion of the industry on how the proposed legislative enactments could </w:t>
      </w:r>
      <w:proofErr w:type="gramStart"/>
      <w:r w:rsidRPr="00C41540">
        <w:rPr>
          <w:rFonts w:ascii="Times New Roman" w:hAnsi="Times New Roman" w:cs="Times New Roman"/>
          <w:lang w:val="en-US"/>
        </w:rPr>
        <w:t>impact</w:t>
      </w:r>
      <w:proofErr w:type="gramEnd"/>
      <w:r w:rsidRPr="00C41540">
        <w:rPr>
          <w:rFonts w:ascii="Times New Roman" w:hAnsi="Times New Roman" w:cs="Times New Roman"/>
          <w:lang w:val="en-US"/>
        </w:rPr>
        <w:t xml:space="preserve"> the industry both at a firm-level, as well as the industry-level. </w:t>
      </w:r>
    </w:p>
    <w:p w:rsidR="00C41540" w:rsidRPr="00C41540" w:rsidRDefault="00C41540" w:rsidP="00C41540">
      <w:pPr>
        <w:ind w:right="-46"/>
        <w:jc w:val="both"/>
        <w:rPr>
          <w:rFonts w:ascii="Times New Roman" w:hAnsi="Times New Roman" w:cs="Times New Roman"/>
          <w:lang w:val="en-US"/>
        </w:rPr>
      </w:pPr>
    </w:p>
    <w:p w:rsidR="00C41540" w:rsidRPr="00C41540" w:rsidRDefault="00C41540" w:rsidP="00C41540">
      <w:pPr>
        <w:ind w:right="-46"/>
        <w:jc w:val="both"/>
        <w:rPr>
          <w:rFonts w:ascii="Times New Roman" w:hAnsi="Times New Roman" w:cs="Times New Roman"/>
          <w:b/>
          <w:lang w:val="en-US"/>
        </w:rPr>
      </w:pPr>
      <w:r w:rsidRPr="00C41540">
        <w:rPr>
          <w:rFonts w:ascii="Times New Roman" w:hAnsi="Times New Roman" w:cs="Times New Roman"/>
          <w:b/>
          <w:lang w:val="en-US"/>
        </w:rPr>
        <w:t xml:space="preserve">Questionnaire </w:t>
      </w:r>
    </w:p>
    <w:p w:rsidR="00C41540" w:rsidRPr="00C41540" w:rsidRDefault="00C41540" w:rsidP="00C41540">
      <w:pPr>
        <w:ind w:right="-46"/>
        <w:jc w:val="both"/>
        <w:rPr>
          <w:rFonts w:ascii="Times New Roman" w:hAnsi="Times New Roman" w:cs="Times New Roman"/>
          <w:b/>
          <w:lang w:val="en-US"/>
        </w:rPr>
      </w:pPr>
    </w:p>
    <w:p w:rsidR="00C41540" w:rsidRPr="00C41540" w:rsidRDefault="00C41540" w:rsidP="00C41540">
      <w:pPr>
        <w:ind w:right="-46"/>
        <w:jc w:val="both"/>
        <w:rPr>
          <w:rFonts w:ascii="Times New Roman" w:hAnsi="Times New Roman" w:cs="Times New Roman"/>
          <w:i/>
          <w:u w:val="single"/>
          <w:lang w:val="en-US"/>
        </w:rPr>
      </w:pPr>
      <w:r w:rsidRPr="00C41540">
        <w:rPr>
          <w:rFonts w:ascii="Times New Roman" w:hAnsi="Times New Roman" w:cs="Times New Roman"/>
          <w:i/>
          <w:u w:val="single"/>
          <w:lang w:val="en-US"/>
        </w:rPr>
        <w:t xml:space="preserve">Basic Information </w:t>
      </w:r>
    </w:p>
    <w:p w:rsidR="00C41540" w:rsidRPr="00C41540" w:rsidRDefault="00C41540" w:rsidP="00C41540">
      <w:pPr>
        <w:ind w:right="-46"/>
        <w:jc w:val="both"/>
        <w:rPr>
          <w:rFonts w:ascii="Times New Roman" w:hAnsi="Times New Roman" w:cs="Times New Roman"/>
          <w:i/>
          <w:u w:val="single"/>
          <w:lang w:val="en-US"/>
        </w:rPr>
      </w:pPr>
    </w:p>
    <w:p w:rsidR="00C41540" w:rsidRPr="00C41540" w:rsidRDefault="00C41540" w:rsidP="00C41540">
      <w:pPr>
        <w:numPr>
          <w:ilvl w:val="0"/>
          <w:numId w:val="6"/>
        </w:numPr>
        <w:ind w:right="-46"/>
        <w:jc w:val="both"/>
        <w:rPr>
          <w:rFonts w:ascii="Times New Roman" w:hAnsi="Times New Roman" w:cs="Times New Roman"/>
          <w:lang w:val="en-US"/>
        </w:rPr>
      </w:pPr>
      <w:r w:rsidRPr="00C41540">
        <w:rPr>
          <w:rFonts w:ascii="Times New Roman" w:hAnsi="Times New Roman" w:cs="Times New Roman"/>
          <w:lang w:val="en-US"/>
        </w:rPr>
        <w:t>Name of Member Entity</w:t>
      </w:r>
      <w:r w:rsidRPr="00C41540">
        <w:rPr>
          <w:rFonts w:ascii="Times New Roman" w:hAnsi="Times New Roman" w:cs="Times New Roman"/>
          <w:vertAlign w:val="superscript"/>
          <w:lang w:val="en-US"/>
        </w:rPr>
        <w:footnoteReference w:id="1"/>
      </w:r>
    </w:p>
    <w:p w:rsidR="00C41540" w:rsidRPr="00C41540" w:rsidRDefault="00C41540" w:rsidP="00C41540">
      <w:pPr>
        <w:numPr>
          <w:ilvl w:val="0"/>
          <w:numId w:val="6"/>
        </w:numPr>
        <w:ind w:right="-46"/>
        <w:jc w:val="both"/>
        <w:rPr>
          <w:rFonts w:ascii="Times New Roman" w:hAnsi="Times New Roman" w:cs="Times New Roman"/>
          <w:lang w:val="en-US"/>
        </w:rPr>
      </w:pPr>
      <w:r w:rsidRPr="00C41540">
        <w:rPr>
          <w:rFonts w:ascii="Times New Roman" w:hAnsi="Times New Roman" w:cs="Times New Roman"/>
          <w:lang w:val="en-US"/>
        </w:rPr>
        <w:t xml:space="preserve">Industry Sub-Category </w:t>
      </w:r>
    </w:p>
    <w:p w:rsidR="00C41540" w:rsidRDefault="00C41540" w:rsidP="00C41540">
      <w:pPr>
        <w:numPr>
          <w:ilvl w:val="0"/>
          <w:numId w:val="6"/>
        </w:numPr>
        <w:ind w:right="-46"/>
        <w:jc w:val="both"/>
        <w:rPr>
          <w:rFonts w:ascii="Times New Roman" w:hAnsi="Times New Roman" w:cs="Times New Roman"/>
          <w:lang w:val="en-US"/>
        </w:rPr>
      </w:pPr>
      <w:r w:rsidRPr="00C41540">
        <w:rPr>
          <w:rFonts w:ascii="Times New Roman" w:hAnsi="Times New Roman" w:cs="Times New Roman"/>
          <w:lang w:val="en-US"/>
        </w:rPr>
        <w:t xml:space="preserve">Area of Presence (Kindly highlight the primary jurisdictions of operation) </w:t>
      </w:r>
    </w:p>
    <w:p w:rsidR="00E97C3F" w:rsidRPr="00C41540" w:rsidRDefault="00E97C3F" w:rsidP="00E97C3F">
      <w:pPr>
        <w:ind w:left="720" w:right="-46"/>
        <w:jc w:val="both"/>
        <w:rPr>
          <w:rFonts w:ascii="Times New Roman" w:hAnsi="Times New Roman" w:cs="Times New Roman"/>
          <w:lang w:val="en-US"/>
        </w:rPr>
      </w:pPr>
    </w:p>
    <w:p w:rsidR="00C41540" w:rsidRPr="00C41540" w:rsidRDefault="00C41540" w:rsidP="00C41540">
      <w:pPr>
        <w:ind w:right="-46"/>
        <w:jc w:val="both"/>
        <w:rPr>
          <w:rFonts w:ascii="Times New Roman" w:hAnsi="Times New Roman" w:cs="Times New Roman"/>
          <w:i/>
          <w:u w:val="single"/>
          <w:lang w:val="en-US"/>
        </w:rPr>
      </w:pPr>
      <w:r w:rsidRPr="00C41540">
        <w:rPr>
          <w:rFonts w:ascii="Times New Roman" w:hAnsi="Times New Roman" w:cs="Times New Roman"/>
          <w:i/>
          <w:u w:val="single"/>
          <w:lang w:val="en-US"/>
        </w:rPr>
        <w:t>Industry Level Issues</w:t>
      </w:r>
    </w:p>
    <w:p w:rsidR="00C41540" w:rsidRPr="00C41540" w:rsidRDefault="00C41540" w:rsidP="00C41540">
      <w:pPr>
        <w:numPr>
          <w:ilvl w:val="0"/>
          <w:numId w:val="7"/>
        </w:numPr>
        <w:ind w:right="-46"/>
        <w:jc w:val="both"/>
        <w:rPr>
          <w:rFonts w:ascii="Times New Roman" w:hAnsi="Times New Roman" w:cs="Times New Roman"/>
          <w:lang w:val="en-US"/>
        </w:rPr>
      </w:pPr>
      <w:r w:rsidRPr="00C41540">
        <w:rPr>
          <w:rFonts w:ascii="Times New Roman" w:hAnsi="Times New Roman" w:cs="Times New Roman"/>
          <w:lang w:val="en-US"/>
        </w:rPr>
        <w:t>Would the proposed law make it easier to negotiate a data protection parity status with EU? If not, what would be the key barriers?</w:t>
      </w:r>
    </w:p>
    <w:p w:rsidR="00C41540" w:rsidRPr="00C41540" w:rsidRDefault="00C41540" w:rsidP="00C41540">
      <w:pPr>
        <w:numPr>
          <w:ilvl w:val="0"/>
          <w:numId w:val="7"/>
        </w:numPr>
        <w:ind w:right="-46"/>
        <w:jc w:val="both"/>
        <w:rPr>
          <w:rFonts w:ascii="Times New Roman" w:hAnsi="Times New Roman" w:cs="Times New Roman"/>
          <w:lang w:val="en-US"/>
        </w:rPr>
      </w:pPr>
      <w:r w:rsidRPr="00C41540">
        <w:rPr>
          <w:rFonts w:ascii="Times New Roman" w:hAnsi="Times New Roman" w:cs="Times New Roman"/>
          <w:lang w:val="en-US"/>
        </w:rPr>
        <w:t>Would there be any negative impact on Indian IT/ BPM industry? Why?</w:t>
      </w:r>
    </w:p>
    <w:p w:rsidR="00C41540" w:rsidRPr="00C41540" w:rsidRDefault="00C41540" w:rsidP="00C41540">
      <w:pPr>
        <w:numPr>
          <w:ilvl w:val="0"/>
          <w:numId w:val="7"/>
        </w:numPr>
        <w:ind w:right="-46"/>
        <w:jc w:val="both"/>
        <w:rPr>
          <w:rFonts w:ascii="Times New Roman" w:hAnsi="Times New Roman" w:cs="Times New Roman"/>
          <w:lang w:val="en-US"/>
        </w:rPr>
      </w:pPr>
      <w:r w:rsidRPr="00C41540">
        <w:rPr>
          <w:rFonts w:ascii="Times New Roman" w:hAnsi="Times New Roman" w:cs="Times New Roman"/>
          <w:lang w:val="en-US"/>
        </w:rPr>
        <w:t>Is there an alternative method to localization, which would be effective, to allow government to access data for national security reasons? Explain.</w:t>
      </w:r>
    </w:p>
    <w:p w:rsidR="00C41540" w:rsidRPr="00C41540" w:rsidRDefault="00C41540" w:rsidP="00C41540">
      <w:pPr>
        <w:numPr>
          <w:ilvl w:val="0"/>
          <w:numId w:val="7"/>
        </w:numPr>
        <w:ind w:right="-46"/>
        <w:jc w:val="both"/>
        <w:rPr>
          <w:rFonts w:ascii="Times New Roman" w:hAnsi="Times New Roman" w:cs="Times New Roman"/>
          <w:lang w:val="en-US"/>
        </w:rPr>
      </w:pPr>
      <w:r w:rsidRPr="00C41540">
        <w:rPr>
          <w:rFonts w:ascii="Times New Roman" w:hAnsi="Times New Roman" w:cs="Times New Roman"/>
          <w:lang w:val="en-US"/>
        </w:rPr>
        <w:t xml:space="preserve">Are the obligations suggested on the data fiduciaries and the treatment of offences </w:t>
      </w:r>
      <w:proofErr w:type="gramStart"/>
      <w:r w:rsidRPr="00C41540">
        <w:rPr>
          <w:rFonts w:ascii="Times New Roman" w:hAnsi="Times New Roman" w:cs="Times New Roman"/>
          <w:lang w:val="en-US"/>
        </w:rPr>
        <w:t>appropriate</w:t>
      </w:r>
      <w:proofErr w:type="gramEnd"/>
      <w:r w:rsidRPr="00C41540">
        <w:rPr>
          <w:rFonts w:ascii="Times New Roman" w:hAnsi="Times New Roman" w:cs="Times New Roman"/>
          <w:lang w:val="en-US"/>
        </w:rPr>
        <w:t xml:space="preserve">? </w:t>
      </w:r>
    </w:p>
    <w:p w:rsidR="00C41540" w:rsidRPr="00C41540" w:rsidRDefault="00C41540" w:rsidP="00C41540">
      <w:pPr>
        <w:numPr>
          <w:ilvl w:val="0"/>
          <w:numId w:val="7"/>
        </w:numPr>
        <w:ind w:right="-46"/>
        <w:jc w:val="both"/>
        <w:rPr>
          <w:rFonts w:ascii="Times New Roman" w:hAnsi="Times New Roman" w:cs="Times New Roman"/>
          <w:lang w:val="en-US"/>
        </w:rPr>
      </w:pPr>
      <w:r w:rsidRPr="00C41540">
        <w:rPr>
          <w:rFonts w:ascii="Times New Roman" w:hAnsi="Times New Roman" w:cs="Times New Roman"/>
          <w:lang w:val="en-US"/>
        </w:rPr>
        <w:t>Are possible concerns around national security risks (in case of personal data) limited to encrypted communication channels like email, messengers/ chat or personal clouds and payment systems/ instruments like cards and wallets? Does that automatically exclude other data intensive businesses like service aggregators, digital content, social media platforms from this concern?</w:t>
      </w:r>
    </w:p>
    <w:p w:rsidR="00C41540" w:rsidRPr="00C41540" w:rsidRDefault="00C41540" w:rsidP="00C41540">
      <w:pPr>
        <w:ind w:right="-46"/>
        <w:jc w:val="both"/>
        <w:rPr>
          <w:rFonts w:ascii="Times New Roman" w:hAnsi="Times New Roman" w:cs="Times New Roman"/>
          <w:lang w:val="en-US"/>
        </w:rPr>
      </w:pPr>
    </w:p>
    <w:p w:rsidR="00C41540" w:rsidRPr="00C41540" w:rsidRDefault="00C41540" w:rsidP="00C41540">
      <w:pPr>
        <w:ind w:right="-46"/>
        <w:jc w:val="both"/>
        <w:rPr>
          <w:rFonts w:ascii="Times New Roman" w:hAnsi="Times New Roman" w:cs="Times New Roman"/>
          <w:i/>
          <w:u w:val="single"/>
          <w:lang w:val="en-US"/>
        </w:rPr>
      </w:pPr>
      <w:r w:rsidRPr="00C41540">
        <w:rPr>
          <w:rFonts w:ascii="Times New Roman" w:hAnsi="Times New Roman" w:cs="Times New Roman"/>
          <w:i/>
          <w:u w:val="single"/>
          <w:lang w:val="en-US"/>
        </w:rPr>
        <w:t>Firm Level Issues</w:t>
      </w:r>
      <w:r w:rsidRPr="00C41540">
        <w:rPr>
          <w:rFonts w:ascii="Times New Roman" w:hAnsi="Times New Roman" w:cs="Times New Roman"/>
          <w:i/>
          <w:u w:val="single"/>
          <w:vertAlign w:val="superscript"/>
          <w:lang w:val="en-US"/>
        </w:rPr>
        <w:footnoteReference w:id="2"/>
      </w:r>
    </w:p>
    <w:p w:rsidR="00C41540" w:rsidRPr="00C41540" w:rsidRDefault="00C41540" w:rsidP="00C41540">
      <w:pPr>
        <w:ind w:right="-46"/>
        <w:jc w:val="both"/>
        <w:rPr>
          <w:rFonts w:ascii="Times New Roman" w:hAnsi="Times New Roman" w:cs="Times New Roman"/>
          <w:i/>
          <w:u w:val="single"/>
          <w:lang w:val="en-US"/>
        </w:rPr>
      </w:pPr>
    </w:p>
    <w:p w:rsidR="00C41540" w:rsidRPr="00C41540" w:rsidRDefault="00C41540" w:rsidP="00C41540">
      <w:pPr>
        <w:numPr>
          <w:ilvl w:val="0"/>
          <w:numId w:val="8"/>
        </w:numPr>
        <w:ind w:right="-46"/>
        <w:jc w:val="both"/>
        <w:rPr>
          <w:rFonts w:ascii="Times New Roman" w:hAnsi="Times New Roman" w:cs="Times New Roman"/>
          <w:lang w:val="en-US"/>
        </w:rPr>
      </w:pPr>
      <w:r w:rsidRPr="00C41540">
        <w:rPr>
          <w:rFonts w:ascii="Times New Roman" w:hAnsi="Times New Roman" w:cs="Times New Roman"/>
          <w:lang w:val="en-US"/>
        </w:rPr>
        <w:t>What, if any, are the difficulties in technologically segregating an individual’s personal data (as proposed in the law), in your business? Give examples.</w:t>
      </w:r>
    </w:p>
    <w:p w:rsidR="00C41540" w:rsidRPr="00C41540" w:rsidRDefault="00C41540" w:rsidP="00C41540">
      <w:pPr>
        <w:ind w:right="-46"/>
        <w:jc w:val="both"/>
        <w:rPr>
          <w:rFonts w:ascii="Times New Roman" w:hAnsi="Times New Roman" w:cs="Times New Roman"/>
          <w:lang w:val="en-US"/>
        </w:rPr>
      </w:pPr>
    </w:p>
    <w:p w:rsidR="00C41540" w:rsidRPr="00C41540" w:rsidRDefault="00C41540" w:rsidP="00C41540">
      <w:pPr>
        <w:numPr>
          <w:ilvl w:val="0"/>
          <w:numId w:val="8"/>
        </w:numPr>
        <w:ind w:right="-46"/>
        <w:jc w:val="both"/>
        <w:rPr>
          <w:rFonts w:ascii="Times New Roman" w:hAnsi="Times New Roman" w:cs="Times New Roman"/>
          <w:lang w:val="en-US"/>
        </w:rPr>
      </w:pPr>
      <w:r w:rsidRPr="00C41540">
        <w:rPr>
          <w:rFonts w:ascii="Times New Roman" w:hAnsi="Times New Roman" w:cs="Times New Roman"/>
          <w:lang w:val="en-US"/>
        </w:rPr>
        <w:t>What are the technological constraints in differentiating between personal data and platform data? Will there be any platform data at all, if we remove personal data from the ambit of platform data?</w:t>
      </w:r>
      <w:r w:rsidRPr="00C41540">
        <w:rPr>
          <w:rFonts w:ascii="Times New Roman" w:hAnsi="Times New Roman" w:cs="Times New Roman"/>
          <w:vertAlign w:val="superscript"/>
          <w:lang w:val="en-US"/>
        </w:rPr>
        <w:footnoteReference w:id="3"/>
      </w:r>
    </w:p>
    <w:p w:rsidR="00C41540" w:rsidRPr="00C41540" w:rsidRDefault="00C41540" w:rsidP="00C41540">
      <w:pPr>
        <w:ind w:right="-46"/>
        <w:jc w:val="both"/>
        <w:rPr>
          <w:rFonts w:ascii="Times New Roman" w:hAnsi="Times New Roman" w:cs="Times New Roman"/>
          <w:lang w:val="en-US"/>
        </w:rPr>
      </w:pPr>
    </w:p>
    <w:p w:rsidR="00C41540" w:rsidRPr="00C41540" w:rsidRDefault="00C41540" w:rsidP="00C41540">
      <w:pPr>
        <w:numPr>
          <w:ilvl w:val="0"/>
          <w:numId w:val="8"/>
        </w:numPr>
        <w:ind w:right="-46"/>
        <w:jc w:val="both"/>
        <w:rPr>
          <w:rFonts w:ascii="Times New Roman" w:hAnsi="Times New Roman" w:cs="Times New Roman"/>
          <w:lang w:val="en-US"/>
        </w:rPr>
      </w:pPr>
      <w:r w:rsidRPr="00C41540">
        <w:rPr>
          <w:rFonts w:ascii="Times New Roman" w:hAnsi="Times New Roman" w:cs="Times New Roman"/>
          <w:lang w:val="en-US"/>
        </w:rPr>
        <w:t>Is your business subject to similar data residency requirements (as proposed in the India) in any other jurisdiction of operations? If yes, how has your business process been adapted to such requirements?</w:t>
      </w:r>
    </w:p>
    <w:p w:rsidR="00C41540" w:rsidRPr="00C41540" w:rsidRDefault="00C41540" w:rsidP="00C41540">
      <w:pPr>
        <w:ind w:right="-46"/>
        <w:jc w:val="both"/>
        <w:rPr>
          <w:rFonts w:ascii="Times New Roman" w:hAnsi="Times New Roman" w:cs="Times New Roman"/>
          <w:lang w:val="en-US"/>
        </w:rPr>
      </w:pPr>
    </w:p>
    <w:p w:rsidR="00C41540" w:rsidRPr="00C41540" w:rsidRDefault="00C41540" w:rsidP="00C41540">
      <w:pPr>
        <w:numPr>
          <w:ilvl w:val="0"/>
          <w:numId w:val="8"/>
        </w:numPr>
        <w:ind w:right="-46"/>
        <w:jc w:val="both"/>
        <w:rPr>
          <w:rFonts w:ascii="Times New Roman" w:hAnsi="Times New Roman" w:cs="Times New Roman"/>
          <w:lang w:val="en-US"/>
        </w:rPr>
      </w:pPr>
      <w:r w:rsidRPr="00C41540">
        <w:rPr>
          <w:rFonts w:ascii="Times New Roman" w:hAnsi="Times New Roman" w:cs="Times New Roman"/>
          <w:lang w:val="en-US"/>
        </w:rPr>
        <w:t xml:space="preserve">Given the nature of your product, if the data residency requirements were to be implemented (given </w:t>
      </w:r>
      <w:proofErr w:type="gramStart"/>
      <w:r w:rsidRPr="00C41540">
        <w:rPr>
          <w:rFonts w:ascii="Times New Roman" w:hAnsi="Times New Roman" w:cs="Times New Roman"/>
          <w:lang w:val="en-US"/>
        </w:rPr>
        <w:t>sufficient</w:t>
      </w:r>
      <w:proofErr w:type="gramEnd"/>
      <w:r w:rsidRPr="00C41540">
        <w:rPr>
          <w:rFonts w:ascii="Times New Roman" w:hAnsi="Times New Roman" w:cs="Times New Roman"/>
          <w:lang w:val="en-US"/>
        </w:rPr>
        <w:t xml:space="preserve"> time, say, two years), how would it impact service delivery for your customers? Wherever possible, kindly also highlight the possible impact on cost of services for your customers. </w:t>
      </w:r>
    </w:p>
    <w:p w:rsidR="00C41540" w:rsidRPr="00C41540" w:rsidRDefault="00C41540" w:rsidP="00C41540">
      <w:pPr>
        <w:ind w:right="-46"/>
        <w:jc w:val="both"/>
        <w:rPr>
          <w:rFonts w:ascii="Times New Roman" w:hAnsi="Times New Roman" w:cs="Times New Roman"/>
          <w:lang w:val="en-US"/>
        </w:rPr>
      </w:pPr>
    </w:p>
    <w:p w:rsidR="00C41540" w:rsidRPr="00C41540" w:rsidRDefault="00C41540" w:rsidP="00C41540">
      <w:pPr>
        <w:numPr>
          <w:ilvl w:val="0"/>
          <w:numId w:val="8"/>
        </w:numPr>
        <w:ind w:right="-46"/>
        <w:jc w:val="both"/>
        <w:rPr>
          <w:rFonts w:ascii="Times New Roman" w:hAnsi="Times New Roman" w:cs="Times New Roman"/>
          <w:lang w:val="en-US"/>
        </w:rPr>
      </w:pPr>
      <w:r w:rsidRPr="00C41540">
        <w:rPr>
          <w:rFonts w:ascii="Times New Roman" w:hAnsi="Times New Roman" w:cs="Times New Roman"/>
          <w:lang w:val="en-US"/>
        </w:rPr>
        <w:t>Are there any requirements in the law that will force you to stop certain services in India or make them unviable? How?</w:t>
      </w:r>
    </w:p>
    <w:p w:rsidR="00C41540" w:rsidRPr="00C41540" w:rsidRDefault="00C41540" w:rsidP="00C41540">
      <w:pPr>
        <w:ind w:right="-46"/>
        <w:jc w:val="both"/>
        <w:rPr>
          <w:rFonts w:ascii="Times New Roman" w:hAnsi="Times New Roman" w:cs="Times New Roman"/>
          <w:lang w:val="en-US"/>
        </w:rPr>
      </w:pPr>
    </w:p>
    <w:p w:rsidR="00C41540" w:rsidRPr="00C41540" w:rsidRDefault="00C41540" w:rsidP="00C41540">
      <w:pPr>
        <w:numPr>
          <w:ilvl w:val="0"/>
          <w:numId w:val="8"/>
        </w:numPr>
        <w:ind w:right="-46"/>
        <w:jc w:val="both"/>
        <w:rPr>
          <w:rFonts w:ascii="Times New Roman" w:hAnsi="Times New Roman" w:cs="Times New Roman"/>
          <w:lang w:val="en-US"/>
        </w:rPr>
      </w:pPr>
      <w:r w:rsidRPr="00C41540">
        <w:rPr>
          <w:rFonts w:ascii="Times New Roman" w:hAnsi="Times New Roman" w:cs="Times New Roman"/>
          <w:lang w:val="en-US"/>
        </w:rPr>
        <w:t>Has your business ever received a request from any government agency to share personal data of any individual? If yes, do you receive such requests regularly? What proportion of these are not as per due process of law?</w:t>
      </w:r>
    </w:p>
    <w:p w:rsidR="00C41540" w:rsidRPr="00C41540" w:rsidRDefault="00C41540" w:rsidP="00C41540">
      <w:pPr>
        <w:ind w:right="-46"/>
        <w:jc w:val="both"/>
        <w:rPr>
          <w:rFonts w:ascii="Times New Roman" w:hAnsi="Times New Roman" w:cs="Times New Roman"/>
          <w:lang w:val="en-US"/>
        </w:rPr>
      </w:pPr>
    </w:p>
    <w:p w:rsidR="00C41540" w:rsidRPr="00C41540" w:rsidRDefault="00C41540" w:rsidP="00C41540">
      <w:pPr>
        <w:numPr>
          <w:ilvl w:val="0"/>
          <w:numId w:val="8"/>
        </w:numPr>
        <w:ind w:right="-46"/>
        <w:jc w:val="both"/>
        <w:rPr>
          <w:rFonts w:ascii="Times New Roman" w:hAnsi="Times New Roman" w:cs="Times New Roman"/>
          <w:lang w:val="en-US"/>
        </w:rPr>
      </w:pPr>
      <w:r w:rsidRPr="00C41540">
        <w:rPr>
          <w:rFonts w:ascii="Times New Roman" w:hAnsi="Times New Roman" w:cs="Times New Roman"/>
          <w:lang w:val="en-US"/>
        </w:rPr>
        <w:t xml:space="preserve">Any other concerns you have in relation to the data residency requirements from the perspective of your business? </w:t>
      </w:r>
    </w:p>
    <w:p w:rsidR="00C41540" w:rsidRPr="00C41540" w:rsidRDefault="00C41540" w:rsidP="00C41540">
      <w:pPr>
        <w:ind w:right="-46"/>
        <w:jc w:val="both"/>
        <w:rPr>
          <w:rFonts w:ascii="Times New Roman" w:hAnsi="Times New Roman" w:cs="Times New Roman"/>
          <w:lang w:val="en-US"/>
        </w:rPr>
      </w:pPr>
    </w:p>
    <w:p w:rsidR="00C41540" w:rsidRPr="00C41540" w:rsidRDefault="00C41540" w:rsidP="00C41540">
      <w:pPr>
        <w:ind w:right="-46"/>
        <w:jc w:val="both"/>
        <w:rPr>
          <w:rFonts w:ascii="Times New Roman" w:hAnsi="Times New Roman" w:cs="Times New Roman"/>
          <w:i/>
          <w:lang w:val="en-US"/>
        </w:rPr>
      </w:pPr>
      <w:r w:rsidRPr="00C41540">
        <w:rPr>
          <w:rFonts w:ascii="Times New Roman" w:hAnsi="Times New Roman" w:cs="Times New Roman"/>
          <w:b/>
          <w:lang w:val="en-US"/>
        </w:rPr>
        <w:t>NOTE:</w:t>
      </w:r>
      <w:r w:rsidRPr="00C41540">
        <w:rPr>
          <w:rFonts w:ascii="Times New Roman" w:hAnsi="Times New Roman" w:cs="Times New Roman"/>
          <w:i/>
          <w:lang w:val="en-US"/>
        </w:rPr>
        <w:t xml:space="preserve"> We will be referring to your responses for further research and analysis and may use some of the positions in preparing advocacy materials. The responses to this questionnaire will be treated as strictly confidential and anonymized.</w:t>
      </w:r>
    </w:p>
    <w:p w:rsidR="00C41540" w:rsidRPr="00C41540" w:rsidRDefault="00C41540" w:rsidP="00C41540">
      <w:pPr>
        <w:ind w:right="-46"/>
        <w:jc w:val="both"/>
        <w:rPr>
          <w:rFonts w:ascii="Times New Roman" w:hAnsi="Times New Roman" w:cs="Times New Roman"/>
          <w:i/>
          <w:lang w:val="en-US"/>
        </w:rPr>
      </w:pPr>
    </w:p>
    <w:p w:rsidR="00C41540" w:rsidRPr="00C41540" w:rsidRDefault="00C41540" w:rsidP="00C41540">
      <w:pPr>
        <w:ind w:right="-46"/>
        <w:jc w:val="center"/>
        <w:rPr>
          <w:rFonts w:ascii="Times New Roman" w:hAnsi="Times New Roman" w:cs="Times New Roman"/>
          <w:b/>
          <w:lang w:val="en-US"/>
        </w:rPr>
      </w:pPr>
      <w:r w:rsidRPr="00C41540">
        <w:rPr>
          <w:rFonts w:ascii="Times New Roman" w:hAnsi="Times New Roman" w:cs="Times New Roman"/>
          <w:b/>
        </w:rPr>
        <w:lastRenderedPageBreak/>
        <w:t>To solicit member feedback, we have created a summary presentation of the bill with key impact areas for industry.  Please use the following table to share your comments with us on key points of deliberation for industry at large; this list is not exhaustive in nature.</w:t>
      </w:r>
    </w:p>
    <w:p w:rsidR="00C41540" w:rsidRPr="00C41540" w:rsidRDefault="00C41540" w:rsidP="00C41540">
      <w:pPr>
        <w:ind w:right="-46"/>
        <w:jc w:val="both"/>
        <w:rPr>
          <w:rFonts w:ascii="Times New Roman" w:hAnsi="Times New Roman" w:cs="Times New Roman"/>
        </w:rPr>
      </w:pPr>
    </w:p>
    <w:tbl>
      <w:tblPr>
        <w:tblStyle w:val="TableGrid"/>
        <w:tblW w:w="14737" w:type="dxa"/>
        <w:tblLook w:val="04A0" w:firstRow="1" w:lastRow="0" w:firstColumn="1" w:lastColumn="0" w:noHBand="0" w:noVBand="1"/>
      </w:tblPr>
      <w:tblGrid>
        <w:gridCol w:w="711"/>
        <w:gridCol w:w="2678"/>
        <w:gridCol w:w="7564"/>
        <w:gridCol w:w="3784"/>
      </w:tblGrid>
      <w:tr w:rsidR="00C41540" w:rsidRPr="00C41540" w:rsidTr="00F263FC">
        <w:trPr>
          <w:trHeight w:val="357"/>
        </w:trPr>
        <w:tc>
          <w:tcPr>
            <w:tcW w:w="681" w:type="dxa"/>
          </w:tcPr>
          <w:p w:rsidR="00C41540" w:rsidRPr="00C41540" w:rsidRDefault="00C41540" w:rsidP="00C41540">
            <w:pPr>
              <w:ind w:right="-46"/>
              <w:jc w:val="both"/>
              <w:rPr>
                <w:rFonts w:ascii="Times New Roman" w:hAnsi="Times New Roman" w:cs="Times New Roman"/>
                <w:b/>
              </w:rPr>
            </w:pPr>
            <w:r w:rsidRPr="00C41540">
              <w:rPr>
                <w:rFonts w:ascii="Times New Roman" w:hAnsi="Times New Roman" w:cs="Times New Roman"/>
                <w:b/>
              </w:rPr>
              <w:t>Slide No.</w:t>
            </w:r>
          </w:p>
        </w:tc>
        <w:tc>
          <w:tcPr>
            <w:tcW w:w="2681" w:type="dxa"/>
          </w:tcPr>
          <w:p w:rsidR="00C41540" w:rsidRPr="00C41540" w:rsidRDefault="00C41540" w:rsidP="00C41540">
            <w:pPr>
              <w:ind w:right="-46"/>
              <w:jc w:val="center"/>
              <w:rPr>
                <w:rFonts w:ascii="Times New Roman" w:hAnsi="Times New Roman" w:cs="Times New Roman"/>
                <w:b/>
              </w:rPr>
            </w:pPr>
            <w:r w:rsidRPr="00C41540">
              <w:rPr>
                <w:rFonts w:ascii="Times New Roman" w:hAnsi="Times New Roman" w:cs="Times New Roman"/>
                <w:b/>
              </w:rPr>
              <w:t>Section</w:t>
            </w:r>
          </w:p>
        </w:tc>
        <w:tc>
          <w:tcPr>
            <w:tcW w:w="7582" w:type="dxa"/>
          </w:tcPr>
          <w:p w:rsidR="00C41540" w:rsidRPr="00C41540" w:rsidRDefault="00C41540" w:rsidP="00C41540">
            <w:pPr>
              <w:ind w:right="-46"/>
              <w:jc w:val="center"/>
              <w:rPr>
                <w:rFonts w:ascii="Times New Roman" w:hAnsi="Times New Roman" w:cs="Times New Roman"/>
                <w:b/>
              </w:rPr>
            </w:pPr>
            <w:r w:rsidRPr="00C41540">
              <w:rPr>
                <w:rFonts w:ascii="Times New Roman" w:hAnsi="Times New Roman" w:cs="Times New Roman"/>
                <w:b/>
              </w:rPr>
              <w:t>Provisions</w:t>
            </w:r>
          </w:p>
        </w:tc>
        <w:tc>
          <w:tcPr>
            <w:tcW w:w="3793" w:type="dxa"/>
          </w:tcPr>
          <w:p w:rsidR="00C41540" w:rsidRPr="00C41540" w:rsidRDefault="00C41540" w:rsidP="00C41540">
            <w:pPr>
              <w:ind w:right="-46"/>
              <w:jc w:val="center"/>
              <w:rPr>
                <w:rFonts w:ascii="Times New Roman" w:hAnsi="Times New Roman" w:cs="Times New Roman"/>
              </w:rPr>
            </w:pPr>
            <w:r w:rsidRPr="00C41540">
              <w:rPr>
                <w:rFonts w:ascii="Times New Roman" w:hAnsi="Times New Roman" w:cs="Times New Roman"/>
                <w:b/>
              </w:rPr>
              <w:t>Comments</w:t>
            </w:r>
          </w:p>
        </w:tc>
      </w:tr>
      <w:tr w:rsidR="00C41540" w:rsidRPr="00C41540" w:rsidTr="00F263FC">
        <w:tc>
          <w:tcPr>
            <w:tcW w:w="681"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center"/>
              <w:rPr>
                <w:rFonts w:ascii="Times New Roman" w:hAnsi="Times New Roman" w:cs="Times New Roman"/>
              </w:rPr>
            </w:pPr>
            <w:r w:rsidRPr="00C41540">
              <w:rPr>
                <w:rFonts w:ascii="Times New Roman" w:hAnsi="Times New Roman" w:cs="Times New Roman"/>
              </w:rPr>
              <w:t>3</w:t>
            </w:r>
          </w:p>
        </w:tc>
        <w:tc>
          <w:tcPr>
            <w:tcW w:w="2681" w:type="dxa"/>
          </w:tcPr>
          <w:p w:rsidR="00C41540" w:rsidRPr="00C41540" w:rsidRDefault="00C41540" w:rsidP="00C41540">
            <w:pPr>
              <w:ind w:right="-46"/>
              <w:rPr>
                <w:rFonts w:ascii="Times New Roman" w:hAnsi="Times New Roman" w:cs="Times New Roman"/>
              </w:rPr>
            </w:pPr>
          </w:p>
          <w:p w:rsidR="00C41540" w:rsidRPr="00C41540" w:rsidRDefault="00C41540" w:rsidP="00C41540">
            <w:pPr>
              <w:ind w:right="-46"/>
              <w:rPr>
                <w:rFonts w:ascii="Times New Roman" w:hAnsi="Times New Roman" w:cs="Times New Roman"/>
              </w:rPr>
            </w:pPr>
            <w:r w:rsidRPr="00C41540">
              <w:rPr>
                <w:rFonts w:ascii="Times New Roman" w:hAnsi="Times New Roman" w:cs="Times New Roman"/>
              </w:rPr>
              <w:t>3 (13) “Data fiduciary”</w:t>
            </w: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3 (14) “Data principal”</w:t>
            </w: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“Data fiduciary” means any person, including the State, a company, any juristic entity or any individual who alone or in conjunction with others determines the purpose and means of processing of personal data;</w:t>
            </w: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“Data principal” means the natural person to whom the personal data referred to in sub-clause (28) relates;</w:t>
            </w: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center"/>
              <w:rPr>
                <w:rFonts w:ascii="Times New Roman" w:hAnsi="Times New Roman" w:cs="Times New Roman"/>
              </w:rPr>
            </w:pPr>
            <w:r w:rsidRPr="00C41540">
              <w:rPr>
                <w:rFonts w:ascii="Times New Roman" w:hAnsi="Times New Roman" w:cs="Times New Roman"/>
              </w:rPr>
              <w:t>10</w:t>
            </w:r>
          </w:p>
        </w:tc>
        <w:tc>
          <w:tcPr>
            <w:tcW w:w="2681" w:type="dxa"/>
          </w:tcPr>
          <w:p w:rsidR="00C41540" w:rsidRPr="00C41540" w:rsidRDefault="00C41540" w:rsidP="00C41540">
            <w:pPr>
              <w:ind w:right="-46"/>
              <w:jc w:val="both"/>
              <w:rPr>
                <w:rFonts w:ascii="Times New Roman" w:hAnsi="Times New Roman" w:cs="Times New Roman"/>
                <w:bCs/>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bCs/>
              </w:rPr>
              <w:t>3 (19) “Financial data”</w:t>
            </w:r>
          </w:p>
        </w:tc>
        <w:tc>
          <w:tcPr>
            <w:tcW w:w="7582" w:type="dxa"/>
          </w:tcPr>
          <w:p w:rsidR="00C41540" w:rsidRPr="00C41540" w:rsidRDefault="00C41540" w:rsidP="00C41540">
            <w:pPr>
              <w:ind w:right="-46"/>
              <w:jc w:val="both"/>
              <w:rPr>
                <w:rFonts w:ascii="Times New Roman" w:hAnsi="Times New Roman" w:cs="Times New Roman"/>
                <w:bCs/>
              </w:rPr>
            </w:pPr>
          </w:p>
          <w:p w:rsidR="00C41540" w:rsidRPr="00C41540" w:rsidRDefault="00C41540" w:rsidP="00C41540">
            <w:pPr>
              <w:ind w:right="-46"/>
              <w:jc w:val="both"/>
              <w:rPr>
                <w:rFonts w:ascii="Times New Roman" w:hAnsi="Times New Roman" w:cs="Times New Roman"/>
                <w:b/>
                <w:bCs/>
              </w:rPr>
            </w:pPr>
            <w:r w:rsidRPr="00C41540">
              <w:rPr>
                <w:rFonts w:ascii="Times New Roman" w:hAnsi="Times New Roman" w:cs="Times New Roman"/>
                <w:bCs/>
              </w:rPr>
              <w:t>“Financial data”</w:t>
            </w:r>
            <w:r w:rsidRPr="00C41540">
              <w:rPr>
                <w:rFonts w:ascii="Times New Roman" w:hAnsi="Times New Roman" w:cs="Times New Roman"/>
                <w:b/>
                <w:bCs/>
              </w:rPr>
              <w:t xml:space="preserve"> </w:t>
            </w:r>
            <w:r w:rsidRPr="00C41540">
              <w:rPr>
                <w:rFonts w:ascii="Times New Roman" w:hAnsi="Times New Roman" w:cs="Times New Roman"/>
              </w:rPr>
              <w:t xml:space="preserve">means any number or other personal data used to identify an account opened by, or card or payment instrument issued by a financial institution to a data principal or any personal data regarding the relationship between a financial institution and a data principal including financial status and credit history; </w:t>
            </w: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center"/>
              <w:rPr>
                <w:rFonts w:ascii="Times New Roman" w:hAnsi="Times New Roman" w:cs="Times New Roman"/>
              </w:rPr>
            </w:pPr>
            <w:r w:rsidRPr="00C41540">
              <w:rPr>
                <w:rFonts w:ascii="Times New Roman" w:hAnsi="Times New Roman" w:cs="Times New Roman"/>
              </w:rPr>
              <w:t>11</w:t>
            </w:r>
          </w:p>
        </w:tc>
        <w:tc>
          <w:tcPr>
            <w:tcW w:w="2681"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3 (22) </w:t>
            </w:r>
            <w:r w:rsidRPr="00C41540">
              <w:rPr>
                <w:rFonts w:ascii="Times New Roman" w:hAnsi="Times New Roman" w:cs="Times New Roman"/>
                <w:bCs/>
              </w:rPr>
              <w:t>“Health data”</w:t>
            </w:r>
          </w:p>
        </w:tc>
        <w:tc>
          <w:tcPr>
            <w:tcW w:w="7582" w:type="dxa"/>
          </w:tcPr>
          <w:p w:rsidR="00C41540" w:rsidRPr="00C41540" w:rsidRDefault="00C41540" w:rsidP="00C41540">
            <w:pPr>
              <w:ind w:right="-46"/>
              <w:jc w:val="both"/>
              <w:rPr>
                <w:rFonts w:ascii="Times New Roman" w:hAnsi="Times New Roman" w:cs="Times New Roman"/>
                <w:bCs/>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bCs/>
              </w:rPr>
              <w:t>“Health data”</w:t>
            </w:r>
            <w:r w:rsidRPr="00C41540">
              <w:rPr>
                <w:rFonts w:ascii="Times New Roman" w:hAnsi="Times New Roman" w:cs="Times New Roman"/>
                <w:b/>
                <w:bCs/>
              </w:rPr>
              <w:t xml:space="preserve"> </w:t>
            </w:r>
            <w:r w:rsidRPr="00C41540">
              <w:rPr>
                <w:rFonts w:ascii="Times New Roman" w:hAnsi="Times New Roman" w:cs="Times New Roman"/>
              </w:rPr>
              <w:t xml:space="preserve">means data related to the state of physical or mental health of the data principal and includes records regarding the past, present or future state of the health of such data principal, data collected </w:t>
            </w:r>
            <w:proofErr w:type="gramStart"/>
            <w:r w:rsidRPr="00C41540">
              <w:rPr>
                <w:rFonts w:ascii="Times New Roman" w:hAnsi="Times New Roman" w:cs="Times New Roman"/>
              </w:rPr>
              <w:t>in the course of</w:t>
            </w:r>
            <w:proofErr w:type="gramEnd"/>
            <w:r w:rsidRPr="00C41540">
              <w:rPr>
                <w:rFonts w:ascii="Times New Roman" w:hAnsi="Times New Roman" w:cs="Times New Roman"/>
              </w:rPr>
              <w:t xml:space="preserve"> registration for, or provision of health services, data associating the data principal to the provision of specific health services. </w:t>
            </w: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center"/>
              <w:rPr>
                <w:rFonts w:ascii="Times New Roman" w:hAnsi="Times New Roman" w:cs="Times New Roman"/>
              </w:rPr>
            </w:pPr>
            <w:r w:rsidRPr="00C41540">
              <w:rPr>
                <w:rFonts w:ascii="Times New Roman" w:hAnsi="Times New Roman" w:cs="Times New Roman"/>
              </w:rPr>
              <w:t>9</w:t>
            </w:r>
          </w:p>
        </w:tc>
        <w:tc>
          <w:tcPr>
            <w:tcW w:w="2681"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3 (35)</w:t>
            </w:r>
            <w:r w:rsidRPr="00C41540">
              <w:rPr>
                <w:rFonts w:ascii="Times New Roman" w:hAnsi="Times New Roman" w:cs="Times New Roman"/>
                <w:bCs/>
              </w:rPr>
              <w:t xml:space="preserve"> “Sensitive Personal Data”</w:t>
            </w: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 </w:t>
            </w:r>
            <w:r w:rsidRPr="00C41540">
              <w:rPr>
                <w:rFonts w:ascii="Times New Roman" w:hAnsi="Times New Roman" w:cs="Times New Roman"/>
                <w:b/>
                <w:bCs/>
              </w:rPr>
              <w:t xml:space="preserve">“Sensitive Personal Data” </w:t>
            </w:r>
            <w:r w:rsidRPr="00C41540">
              <w:rPr>
                <w:rFonts w:ascii="Times New Roman" w:hAnsi="Times New Roman" w:cs="Times New Roman"/>
              </w:rPr>
              <w:t xml:space="preserve">means personal data revealing, related to, or constituting, as may be applicable— </w:t>
            </w: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w:t>
            </w:r>
            <w:proofErr w:type="spellStart"/>
            <w:r w:rsidRPr="00C41540">
              <w:rPr>
                <w:rFonts w:ascii="Times New Roman" w:hAnsi="Times New Roman" w:cs="Times New Roman"/>
              </w:rPr>
              <w:t>i</w:t>
            </w:r>
            <w:proofErr w:type="spellEnd"/>
            <w:r w:rsidRPr="00C41540">
              <w:rPr>
                <w:rFonts w:ascii="Times New Roman" w:hAnsi="Times New Roman" w:cs="Times New Roman"/>
              </w:rPr>
              <w:t xml:space="preserve">) passwords; </w:t>
            </w: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(ii) financial data; </w:t>
            </w: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(iii) health data; </w:t>
            </w: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(iv) official identifier; </w:t>
            </w: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(v) sex life; </w:t>
            </w: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(vi) sexual orientation; </w:t>
            </w: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(vii) biometric data; </w:t>
            </w: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(viii) genetic data; </w:t>
            </w: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(ix) transgender status; </w:t>
            </w: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(x) intersex status; </w:t>
            </w: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(xi) caste or tribe; </w:t>
            </w: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(xii) religious or political belief or affiliation; or </w:t>
            </w: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(xiii) any other category of data specified by the Authority under section 22. </w:t>
            </w: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center"/>
              <w:rPr>
                <w:rFonts w:ascii="Times New Roman" w:hAnsi="Times New Roman" w:cs="Times New Roman"/>
              </w:rPr>
            </w:pPr>
            <w:r w:rsidRPr="00C41540">
              <w:rPr>
                <w:rFonts w:ascii="Times New Roman" w:hAnsi="Times New Roman" w:cs="Times New Roman"/>
              </w:rPr>
              <w:t>14,15</w:t>
            </w:r>
          </w:p>
        </w:tc>
        <w:tc>
          <w:tcPr>
            <w:tcW w:w="2681" w:type="dxa"/>
          </w:tcPr>
          <w:p w:rsidR="00C41540" w:rsidRPr="00C41540" w:rsidRDefault="00C41540" w:rsidP="00C41540">
            <w:pPr>
              <w:ind w:right="-46"/>
              <w:jc w:val="both"/>
              <w:rPr>
                <w:rFonts w:ascii="Times New Roman" w:hAnsi="Times New Roman" w:cs="Times New Roman"/>
                <w:bCs/>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bCs/>
              </w:rPr>
              <w:t xml:space="preserve">8. “Notice” </w:t>
            </w: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(m) where applicable, any rating in the form of a data trust score that may be assigned to the data fiduciary under section 35; </w:t>
            </w: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center"/>
              <w:rPr>
                <w:rFonts w:ascii="Times New Roman" w:hAnsi="Times New Roman" w:cs="Times New Roman"/>
              </w:rPr>
            </w:pPr>
            <w:r w:rsidRPr="00C41540">
              <w:rPr>
                <w:rFonts w:ascii="Times New Roman" w:hAnsi="Times New Roman" w:cs="Times New Roman"/>
              </w:rPr>
              <w:t>16</w:t>
            </w:r>
          </w:p>
        </w:tc>
        <w:tc>
          <w:tcPr>
            <w:tcW w:w="2681" w:type="dxa"/>
          </w:tcPr>
          <w:p w:rsidR="00C41540" w:rsidRPr="00C41540" w:rsidRDefault="00C41540" w:rsidP="00C41540">
            <w:pPr>
              <w:ind w:right="-46"/>
              <w:jc w:val="both"/>
              <w:rPr>
                <w:rFonts w:ascii="Times New Roman" w:hAnsi="Times New Roman" w:cs="Times New Roman"/>
                <w:bCs/>
              </w:rPr>
            </w:pPr>
          </w:p>
          <w:p w:rsidR="00C41540" w:rsidRPr="00C41540" w:rsidRDefault="00C41540" w:rsidP="00C41540">
            <w:pPr>
              <w:ind w:right="-46"/>
              <w:jc w:val="both"/>
              <w:rPr>
                <w:rFonts w:ascii="Times New Roman" w:hAnsi="Times New Roman" w:cs="Times New Roman"/>
                <w:bCs/>
              </w:rPr>
            </w:pPr>
          </w:p>
          <w:p w:rsidR="00C41540" w:rsidRPr="00C41540" w:rsidRDefault="00C41540" w:rsidP="00C41540">
            <w:pPr>
              <w:ind w:right="-46"/>
              <w:jc w:val="both"/>
              <w:rPr>
                <w:rFonts w:ascii="Times New Roman" w:hAnsi="Times New Roman" w:cs="Times New Roman"/>
                <w:bCs/>
              </w:rPr>
            </w:pPr>
            <w:r w:rsidRPr="00C41540">
              <w:rPr>
                <w:rFonts w:ascii="Times New Roman" w:hAnsi="Times New Roman" w:cs="Times New Roman"/>
                <w:bCs/>
              </w:rPr>
              <w:t xml:space="preserve">12. Processing of personal data </w:t>
            </w:r>
            <w:proofErr w:type="gramStart"/>
            <w:r w:rsidRPr="00C41540">
              <w:rPr>
                <w:rFonts w:ascii="Times New Roman" w:hAnsi="Times New Roman" w:cs="Times New Roman"/>
                <w:bCs/>
              </w:rPr>
              <w:t>on the basis of</w:t>
            </w:r>
            <w:proofErr w:type="gramEnd"/>
            <w:r w:rsidRPr="00C41540">
              <w:rPr>
                <w:rFonts w:ascii="Times New Roman" w:hAnsi="Times New Roman" w:cs="Times New Roman"/>
                <w:bCs/>
              </w:rPr>
              <w:t xml:space="preserve"> consent</w:t>
            </w:r>
          </w:p>
          <w:p w:rsidR="00C41540" w:rsidRPr="00C41540" w:rsidRDefault="00C41540" w:rsidP="00C41540">
            <w:pPr>
              <w:ind w:right="-46"/>
              <w:jc w:val="both"/>
              <w:rPr>
                <w:rFonts w:ascii="Times New Roman" w:hAnsi="Times New Roman" w:cs="Times New Roman"/>
              </w:rPr>
            </w:pP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(3) The data fiduciary shall not make the provision of any goods or services or the quality thereof, the performance of any contract, or the enjoyment of any legal right or claim, conditional on consent to processing of any personal data not necessary for that purpose. </w:t>
            </w: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center"/>
              <w:rPr>
                <w:rFonts w:ascii="Times New Roman" w:hAnsi="Times New Roman" w:cs="Times New Roman"/>
              </w:rPr>
            </w:pPr>
            <w:r w:rsidRPr="00C41540">
              <w:rPr>
                <w:rFonts w:ascii="Times New Roman" w:hAnsi="Times New Roman" w:cs="Times New Roman"/>
              </w:rPr>
              <w:t>16</w:t>
            </w:r>
          </w:p>
        </w:tc>
        <w:tc>
          <w:tcPr>
            <w:tcW w:w="2681" w:type="dxa"/>
          </w:tcPr>
          <w:p w:rsidR="00C41540" w:rsidRPr="00C41540" w:rsidRDefault="00C41540" w:rsidP="00C41540">
            <w:pPr>
              <w:ind w:right="-46"/>
              <w:jc w:val="both"/>
              <w:rPr>
                <w:rFonts w:ascii="Times New Roman" w:hAnsi="Times New Roman" w:cs="Times New Roman"/>
                <w:bCs/>
              </w:rPr>
            </w:pPr>
          </w:p>
          <w:p w:rsidR="00C41540" w:rsidRPr="00C41540" w:rsidRDefault="00C41540" w:rsidP="00C41540">
            <w:pPr>
              <w:ind w:right="-46"/>
              <w:jc w:val="both"/>
              <w:rPr>
                <w:rFonts w:ascii="Times New Roman" w:hAnsi="Times New Roman" w:cs="Times New Roman"/>
                <w:bCs/>
              </w:rPr>
            </w:pPr>
          </w:p>
          <w:p w:rsidR="00C41540" w:rsidRPr="00C41540" w:rsidRDefault="00C41540" w:rsidP="00C41540">
            <w:pPr>
              <w:ind w:right="-46"/>
              <w:jc w:val="both"/>
              <w:rPr>
                <w:rFonts w:ascii="Times New Roman" w:hAnsi="Times New Roman" w:cs="Times New Roman"/>
                <w:bCs/>
              </w:rPr>
            </w:pPr>
            <w:r w:rsidRPr="00C41540">
              <w:rPr>
                <w:rFonts w:ascii="Times New Roman" w:hAnsi="Times New Roman" w:cs="Times New Roman"/>
                <w:bCs/>
              </w:rPr>
              <w:t>16. Processing of personal data necessary for purposes related to employment</w:t>
            </w:r>
          </w:p>
          <w:p w:rsidR="00C41540" w:rsidRPr="00C41540" w:rsidRDefault="00C41540" w:rsidP="00C41540">
            <w:pPr>
              <w:ind w:right="-46"/>
              <w:jc w:val="both"/>
              <w:rPr>
                <w:rFonts w:ascii="Times New Roman" w:hAnsi="Times New Roman" w:cs="Times New Roman"/>
                <w:bCs/>
              </w:rPr>
            </w:pPr>
          </w:p>
          <w:p w:rsidR="00C41540" w:rsidRPr="00C41540" w:rsidRDefault="00C41540" w:rsidP="00C41540">
            <w:pPr>
              <w:ind w:right="-46"/>
              <w:jc w:val="both"/>
              <w:rPr>
                <w:rFonts w:ascii="Times New Roman" w:hAnsi="Times New Roman" w:cs="Times New Roman"/>
              </w:rPr>
            </w:pP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(1) Personal data may be processed if such processing is necessary for—</w:t>
            </w: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(a) recruitment or termination of employment of a data principal by the data fiduciary;</w:t>
            </w: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(b) provision of any service to, or benefit sought by, the data principal who is an employee of the data fiduciary;</w:t>
            </w: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(c) verifying the attendance of the data principal who is an employee of the data fiduciary; or</w:t>
            </w: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(d) any other activity relating to the assessment of the performance of the data principal who is an employee of the data fiduciary.</w:t>
            </w: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center"/>
              <w:rPr>
                <w:rFonts w:ascii="Times New Roman" w:hAnsi="Times New Roman" w:cs="Times New Roman"/>
              </w:rPr>
            </w:pPr>
            <w:r w:rsidRPr="00C41540">
              <w:rPr>
                <w:rFonts w:ascii="Times New Roman" w:hAnsi="Times New Roman" w:cs="Times New Roman"/>
              </w:rPr>
              <w:t>16</w:t>
            </w:r>
          </w:p>
        </w:tc>
        <w:tc>
          <w:tcPr>
            <w:tcW w:w="2681"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bCs/>
              </w:rPr>
            </w:pPr>
            <w:r w:rsidRPr="00C41540">
              <w:rPr>
                <w:rFonts w:ascii="Times New Roman" w:hAnsi="Times New Roman" w:cs="Times New Roman"/>
                <w:bCs/>
              </w:rPr>
              <w:t xml:space="preserve">17. Processing of data for reasonable purposes. </w:t>
            </w:r>
          </w:p>
          <w:p w:rsidR="00C41540" w:rsidRPr="00C41540" w:rsidRDefault="00C41540" w:rsidP="00C41540">
            <w:pPr>
              <w:ind w:right="-46"/>
              <w:jc w:val="both"/>
              <w:rPr>
                <w:rFonts w:ascii="Times New Roman" w:hAnsi="Times New Roman" w:cs="Times New Roman"/>
              </w:rPr>
            </w:pP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b/>
                <w:bCs/>
              </w:rPr>
            </w:pPr>
            <w:r w:rsidRPr="00C41540">
              <w:rPr>
                <w:rFonts w:ascii="Times New Roman" w:hAnsi="Times New Roman" w:cs="Times New Roman"/>
              </w:rPr>
              <w:t>(1) In addition to the grounds for processing contained in section12 to section 16, personal data may be processed if such processing is necessary for such reasonable purposes as may be specified after taking into consideration</w:t>
            </w:r>
            <w:r w:rsidRPr="00C41540">
              <w:rPr>
                <w:rFonts w:ascii="Times New Roman" w:hAnsi="Times New Roman" w:cs="Times New Roman"/>
                <w:b/>
                <w:bCs/>
              </w:rPr>
              <w:t xml:space="preserve">— </w:t>
            </w: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(a) the interest of the data fiduciary in processing for that purpose; </w:t>
            </w: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(b) whether the data fiduciary can reasonably be expected to obtain the consent of the data principal; </w:t>
            </w: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(c) any public interest in processing for that purpose; </w:t>
            </w: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(d) the effect of the processing activity on the rights of the data principal; and </w:t>
            </w: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(e) the reasonable expectations of the data principal having regard to the context of the processing. </w:t>
            </w: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center"/>
              <w:rPr>
                <w:rFonts w:ascii="Times New Roman" w:hAnsi="Times New Roman" w:cs="Times New Roman"/>
              </w:rPr>
            </w:pPr>
            <w:r w:rsidRPr="00C41540">
              <w:rPr>
                <w:rFonts w:ascii="Times New Roman" w:hAnsi="Times New Roman" w:cs="Times New Roman"/>
              </w:rPr>
              <w:t>17</w:t>
            </w:r>
          </w:p>
        </w:tc>
        <w:tc>
          <w:tcPr>
            <w:tcW w:w="2681"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18. Processing of sensitive personal data based on explicit consent</w:t>
            </w:r>
          </w:p>
          <w:p w:rsidR="00C41540" w:rsidRPr="00C41540" w:rsidRDefault="00C41540" w:rsidP="00C41540">
            <w:pPr>
              <w:ind w:right="-46"/>
              <w:jc w:val="both"/>
              <w:rPr>
                <w:rFonts w:ascii="Times New Roman" w:hAnsi="Times New Roman" w:cs="Times New Roman"/>
              </w:rPr>
            </w:pP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(2) For the purposes of sub-section (1), consent shall be considered explicit only if it is valid as per section 12 and is additionally:</w:t>
            </w: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(a) informed, having regard to whether the attention of the data principal has been drawn to purposes of or operations in processing that may have significant consequences for the data principal;</w:t>
            </w: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(b) clear, having regard to whether it is meaningful without recourse to inference from conduct in a context; and</w:t>
            </w: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lastRenderedPageBreak/>
              <w:t>(c) specific, having regard to whether the data principal is given the choice of separately consenting to the purposes of, operations in, and the use of different categories of sensitive personal data relevant to processing.</w:t>
            </w: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center"/>
              <w:rPr>
                <w:rFonts w:ascii="Times New Roman" w:hAnsi="Times New Roman" w:cs="Times New Roman"/>
              </w:rPr>
            </w:pPr>
            <w:r w:rsidRPr="00C41540">
              <w:rPr>
                <w:rFonts w:ascii="Times New Roman" w:hAnsi="Times New Roman" w:cs="Times New Roman"/>
              </w:rPr>
              <w:t>15</w:t>
            </w:r>
          </w:p>
        </w:tc>
        <w:tc>
          <w:tcPr>
            <w:tcW w:w="2681" w:type="dxa"/>
          </w:tcPr>
          <w:p w:rsidR="00C41540" w:rsidRPr="00C41540" w:rsidRDefault="00C41540" w:rsidP="00C41540">
            <w:pPr>
              <w:ind w:right="-46"/>
              <w:jc w:val="both"/>
              <w:rPr>
                <w:rFonts w:ascii="Times New Roman" w:hAnsi="Times New Roman" w:cs="Times New Roman"/>
                <w:bCs/>
              </w:rPr>
            </w:pPr>
          </w:p>
          <w:p w:rsidR="00C41540" w:rsidRPr="00C41540" w:rsidRDefault="00C41540" w:rsidP="00C41540">
            <w:pPr>
              <w:ind w:right="-46"/>
              <w:jc w:val="both"/>
              <w:rPr>
                <w:rFonts w:ascii="Times New Roman" w:hAnsi="Times New Roman" w:cs="Times New Roman"/>
                <w:bCs/>
              </w:rPr>
            </w:pPr>
            <w:r w:rsidRPr="00C41540">
              <w:rPr>
                <w:rFonts w:ascii="Times New Roman" w:hAnsi="Times New Roman" w:cs="Times New Roman"/>
                <w:bCs/>
              </w:rPr>
              <w:t>23. Processing of personal data and sensitive personal data of children</w:t>
            </w:r>
          </w:p>
          <w:p w:rsidR="00C41540" w:rsidRPr="00C41540" w:rsidRDefault="00C41540" w:rsidP="00C41540">
            <w:pPr>
              <w:ind w:right="-46"/>
              <w:jc w:val="both"/>
              <w:rPr>
                <w:rFonts w:ascii="Times New Roman" w:hAnsi="Times New Roman" w:cs="Times New Roman"/>
              </w:rPr>
            </w:pP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(2) Appropriate mechanisms for age verification and parental consent shall be incorporated by data fiduciaries </w:t>
            </w:r>
            <w:proofErr w:type="gramStart"/>
            <w:r w:rsidRPr="00C41540">
              <w:rPr>
                <w:rFonts w:ascii="Times New Roman" w:hAnsi="Times New Roman" w:cs="Times New Roman"/>
              </w:rPr>
              <w:t>in order to</w:t>
            </w:r>
            <w:proofErr w:type="gramEnd"/>
            <w:r w:rsidRPr="00C41540">
              <w:rPr>
                <w:rFonts w:ascii="Times New Roman" w:hAnsi="Times New Roman" w:cs="Times New Roman"/>
              </w:rPr>
              <w:t xml:space="preserve"> process personal data of children. </w:t>
            </w: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both"/>
              <w:rPr>
                <w:rFonts w:ascii="Times New Roman" w:hAnsi="Times New Roman" w:cs="Times New Roman"/>
              </w:rPr>
            </w:pPr>
          </w:p>
        </w:tc>
        <w:tc>
          <w:tcPr>
            <w:tcW w:w="2681" w:type="dxa"/>
          </w:tcPr>
          <w:p w:rsidR="00C41540" w:rsidRPr="00C41540" w:rsidRDefault="00C41540" w:rsidP="00C41540">
            <w:pPr>
              <w:ind w:right="-46"/>
              <w:jc w:val="both"/>
              <w:rPr>
                <w:rFonts w:ascii="Times New Roman" w:hAnsi="Times New Roman" w:cs="Times New Roman"/>
                <w:b/>
                <w:bCs/>
              </w:rPr>
            </w:pP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(3) Appropriateness of an age verification mechanism incorporated by a data fiduciary shall be determined </w:t>
            </w:r>
            <w:proofErr w:type="gramStart"/>
            <w:r w:rsidRPr="00C41540">
              <w:rPr>
                <w:rFonts w:ascii="Times New Roman" w:hAnsi="Times New Roman" w:cs="Times New Roman"/>
              </w:rPr>
              <w:t>on the basis of</w:t>
            </w:r>
            <w:proofErr w:type="gramEnd"/>
            <w:r w:rsidRPr="00C41540">
              <w:rPr>
                <w:rFonts w:ascii="Times New Roman" w:hAnsi="Times New Roman" w:cs="Times New Roman"/>
              </w:rPr>
              <w:t xml:space="preserve">— </w:t>
            </w: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(a) volume of personal data processed;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(b) proportion of such personal data likely to be that of children;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(c) possibility of harm to children arising out of processing of personal data; and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(d) such other factors as may be specified by the Authority. </w:t>
            </w: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both"/>
              <w:rPr>
                <w:rFonts w:ascii="Times New Roman" w:hAnsi="Times New Roman" w:cs="Times New Roman"/>
              </w:rPr>
            </w:pPr>
          </w:p>
        </w:tc>
        <w:tc>
          <w:tcPr>
            <w:tcW w:w="2681" w:type="dxa"/>
          </w:tcPr>
          <w:p w:rsidR="00C41540" w:rsidRPr="00C41540" w:rsidRDefault="00C41540" w:rsidP="00C41540">
            <w:pPr>
              <w:ind w:right="-46"/>
              <w:jc w:val="both"/>
              <w:rPr>
                <w:rFonts w:ascii="Times New Roman" w:hAnsi="Times New Roman" w:cs="Times New Roman"/>
                <w:b/>
                <w:bCs/>
              </w:rPr>
            </w:pP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(4) The Authority shall notify the following as guardian data fiduciaries— </w:t>
            </w: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(a) data fiduciaries who operate commercial websites or online services directed at children; or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(b) data fiduciaries who process large volumes of personal data of children. </w:t>
            </w: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both"/>
              <w:rPr>
                <w:rFonts w:ascii="Times New Roman" w:hAnsi="Times New Roman" w:cs="Times New Roman"/>
              </w:rPr>
            </w:pPr>
          </w:p>
        </w:tc>
        <w:tc>
          <w:tcPr>
            <w:tcW w:w="2681" w:type="dxa"/>
          </w:tcPr>
          <w:p w:rsidR="00C41540" w:rsidRPr="00C41540" w:rsidRDefault="00C41540" w:rsidP="00C41540">
            <w:pPr>
              <w:ind w:right="-46"/>
              <w:jc w:val="both"/>
              <w:rPr>
                <w:rFonts w:ascii="Times New Roman" w:hAnsi="Times New Roman" w:cs="Times New Roman"/>
                <w:b/>
                <w:bCs/>
              </w:rPr>
            </w:pPr>
          </w:p>
          <w:p w:rsidR="00C41540" w:rsidRPr="00C41540" w:rsidRDefault="00C41540" w:rsidP="00C41540">
            <w:pPr>
              <w:ind w:right="-46"/>
              <w:jc w:val="both"/>
              <w:rPr>
                <w:rFonts w:ascii="Times New Roman" w:hAnsi="Times New Roman" w:cs="Times New Roman"/>
              </w:rPr>
            </w:pP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(5) Guardian data fiduciaries shall be barred from profiling, tracking, or behavioural monitoring of, or targeted advertising directed at, children and undertaking any other processing of personal data that can cause significant harm to the child. </w:t>
            </w: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center"/>
              <w:rPr>
                <w:rFonts w:ascii="Times New Roman" w:hAnsi="Times New Roman" w:cs="Times New Roman"/>
              </w:rPr>
            </w:pPr>
            <w:r w:rsidRPr="00C41540">
              <w:rPr>
                <w:rFonts w:ascii="Times New Roman" w:hAnsi="Times New Roman" w:cs="Times New Roman"/>
              </w:rPr>
              <w:t>12,13</w:t>
            </w:r>
          </w:p>
        </w:tc>
        <w:tc>
          <w:tcPr>
            <w:tcW w:w="2681"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bCs/>
              </w:rPr>
            </w:pPr>
            <w:r w:rsidRPr="00C41540">
              <w:rPr>
                <w:rFonts w:ascii="Times New Roman" w:hAnsi="Times New Roman" w:cs="Times New Roman"/>
                <w:bCs/>
              </w:rPr>
              <w:t>26. Right to Data Portability</w:t>
            </w:r>
          </w:p>
          <w:p w:rsidR="00C41540" w:rsidRPr="00C41540" w:rsidRDefault="00C41540" w:rsidP="00C41540">
            <w:pPr>
              <w:ind w:right="-46"/>
              <w:jc w:val="both"/>
              <w:rPr>
                <w:rFonts w:ascii="Times New Roman" w:hAnsi="Times New Roman" w:cs="Times New Roman"/>
              </w:rPr>
            </w:pP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(1) The data principal shall have the right to— </w:t>
            </w: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(a) receive the following personal data related to the data principal in a structured, commonly used and machine-readable format—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w:t>
            </w:r>
            <w:proofErr w:type="spellStart"/>
            <w:r w:rsidRPr="00C41540">
              <w:rPr>
                <w:rFonts w:ascii="Times New Roman" w:hAnsi="Times New Roman" w:cs="Times New Roman"/>
              </w:rPr>
              <w:t>i</w:t>
            </w:r>
            <w:proofErr w:type="spellEnd"/>
            <w:r w:rsidRPr="00C41540">
              <w:rPr>
                <w:rFonts w:ascii="Times New Roman" w:hAnsi="Times New Roman" w:cs="Times New Roman"/>
              </w:rPr>
              <w:t xml:space="preserve">) which such data principal has provided to the data fiduciary;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(ii) which has been generated </w:t>
            </w:r>
            <w:proofErr w:type="gramStart"/>
            <w:r w:rsidRPr="00C41540">
              <w:rPr>
                <w:rFonts w:ascii="Times New Roman" w:hAnsi="Times New Roman" w:cs="Times New Roman"/>
              </w:rPr>
              <w:t>in the course of</w:t>
            </w:r>
            <w:proofErr w:type="gramEnd"/>
            <w:r w:rsidRPr="00C41540">
              <w:rPr>
                <w:rFonts w:ascii="Times New Roman" w:hAnsi="Times New Roman" w:cs="Times New Roman"/>
              </w:rPr>
              <w:t xml:space="preserve"> provision of services or use of goods by the data fiduciary; or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(iii) which forms part of any profile on the data principal, or which the data fiduciary has otherwise obtained. </w:t>
            </w: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(b) have the personal data referred to in clause (a) transferred to any other data fiduciary in the format referred to in that clause. </w:t>
            </w: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12,13</w:t>
            </w:r>
          </w:p>
        </w:tc>
        <w:tc>
          <w:tcPr>
            <w:tcW w:w="2681"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bCs/>
              </w:rPr>
            </w:pPr>
            <w:r w:rsidRPr="00C41540">
              <w:rPr>
                <w:rFonts w:ascii="Times New Roman" w:hAnsi="Times New Roman" w:cs="Times New Roman"/>
                <w:bCs/>
              </w:rPr>
              <w:t>27. Right to Be Forgotten</w:t>
            </w: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bCs/>
              </w:rPr>
              <w:t xml:space="preserve"> </w:t>
            </w: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(1) The data principal shall have the right to restrict or prevent continuing disclosure of personal data by a data fiduciary related to the data principal where such disclosure</w:t>
            </w:r>
            <w:r w:rsidRPr="00C41540">
              <w:rPr>
                <w:rFonts w:ascii="Times New Roman" w:hAnsi="Times New Roman" w:cs="Times New Roman"/>
                <w:b/>
                <w:bCs/>
              </w:rPr>
              <w:t xml:space="preserve">— </w:t>
            </w: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(a) has served the purpose for which it was made or is no longer necessary;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(b) was made </w:t>
            </w:r>
            <w:proofErr w:type="gramStart"/>
            <w:r w:rsidRPr="00C41540">
              <w:rPr>
                <w:rFonts w:ascii="Times New Roman" w:hAnsi="Times New Roman" w:cs="Times New Roman"/>
              </w:rPr>
              <w:t>on the basis of</w:t>
            </w:r>
            <w:proofErr w:type="gramEnd"/>
            <w:r w:rsidRPr="00C41540">
              <w:rPr>
                <w:rFonts w:ascii="Times New Roman" w:hAnsi="Times New Roman" w:cs="Times New Roman"/>
              </w:rPr>
              <w:t xml:space="preserve"> consent under section 12 and such consent has since been withdrawn; or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(c) was made contrary to the provisions of this Act or any other law made by Parliament or any State Legislature. </w:t>
            </w: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14,15</w:t>
            </w:r>
          </w:p>
        </w:tc>
        <w:tc>
          <w:tcPr>
            <w:tcW w:w="2681"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bCs/>
              </w:rPr>
            </w:pPr>
            <w:r w:rsidRPr="00C41540">
              <w:rPr>
                <w:rFonts w:ascii="Times New Roman" w:hAnsi="Times New Roman" w:cs="Times New Roman"/>
                <w:bCs/>
              </w:rPr>
              <w:t>35. Data Audits</w:t>
            </w:r>
          </w:p>
          <w:p w:rsidR="00C41540" w:rsidRPr="00C41540" w:rsidRDefault="00C41540" w:rsidP="00C41540">
            <w:pPr>
              <w:ind w:right="-46"/>
              <w:jc w:val="both"/>
              <w:rPr>
                <w:rFonts w:ascii="Times New Roman" w:hAnsi="Times New Roman" w:cs="Times New Roman"/>
              </w:rPr>
            </w:pP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(1) The data fiduciary shall have its policies and the conduct of its processing of personal data audited annually by an independent data auditor under this Act. </w:t>
            </w: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both"/>
              <w:rPr>
                <w:rFonts w:ascii="Times New Roman" w:hAnsi="Times New Roman" w:cs="Times New Roman"/>
              </w:rPr>
            </w:pPr>
          </w:p>
        </w:tc>
        <w:tc>
          <w:tcPr>
            <w:tcW w:w="2681" w:type="dxa"/>
          </w:tcPr>
          <w:p w:rsidR="00C41540" w:rsidRPr="00C41540" w:rsidRDefault="00C41540" w:rsidP="00C41540">
            <w:pPr>
              <w:ind w:right="-46"/>
              <w:jc w:val="both"/>
              <w:rPr>
                <w:rFonts w:ascii="Times New Roman" w:hAnsi="Times New Roman" w:cs="Times New Roman"/>
              </w:rPr>
            </w:pPr>
          </w:p>
        </w:tc>
        <w:tc>
          <w:tcPr>
            <w:tcW w:w="7582" w:type="dxa"/>
          </w:tcPr>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(5) A data auditor may assign a rating in the form of a data trust score to the data fiduciary pursuant to a data audit conducted under this section. </w:t>
            </w: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14,15</w:t>
            </w:r>
          </w:p>
        </w:tc>
        <w:tc>
          <w:tcPr>
            <w:tcW w:w="2681"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bCs/>
              </w:rPr>
            </w:pPr>
            <w:r w:rsidRPr="00C41540">
              <w:rPr>
                <w:rFonts w:ascii="Times New Roman" w:hAnsi="Times New Roman" w:cs="Times New Roman"/>
                <w:bCs/>
              </w:rPr>
              <w:t>36. Data Protection Officer</w:t>
            </w:r>
          </w:p>
          <w:p w:rsidR="00C41540" w:rsidRPr="00C41540" w:rsidRDefault="00C41540" w:rsidP="00C41540">
            <w:pPr>
              <w:ind w:right="-46"/>
              <w:jc w:val="both"/>
              <w:rPr>
                <w:rFonts w:ascii="Times New Roman" w:hAnsi="Times New Roman" w:cs="Times New Roman"/>
              </w:rPr>
            </w:pP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(4) Where any data fiduciary not present within the territory of India carries on processing to which the Act applies under section 2(2), and the data fiduciary is required to appoint a data protection officer under this Act, the data fiduciary shall appoint such officer who shall be based in India and shall represent the data fiduciary in compliance of obligations under this Act. </w:t>
            </w: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14,15</w:t>
            </w:r>
          </w:p>
        </w:tc>
        <w:tc>
          <w:tcPr>
            <w:tcW w:w="2681"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bCs/>
              </w:rPr>
            </w:pPr>
            <w:r w:rsidRPr="00C41540">
              <w:rPr>
                <w:rFonts w:ascii="Times New Roman" w:hAnsi="Times New Roman" w:cs="Times New Roman"/>
                <w:bCs/>
              </w:rPr>
              <w:t>38. Classification of data fiduciaries as significant data fiduciaries</w:t>
            </w:r>
          </w:p>
          <w:p w:rsidR="00C41540" w:rsidRPr="00C41540" w:rsidRDefault="00C41540" w:rsidP="00C41540">
            <w:pPr>
              <w:ind w:right="-46"/>
              <w:jc w:val="both"/>
              <w:rPr>
                <w:rFonts w:ascii="Times New Roman" w:hAnsi="Times New Roman" w:cs="Times New Roman"/>
              </w:rPr>
            </w:pP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(1) The Authority shall, having regard to the following factors, notify certain data fiduciaries or classes of data fiduciaries as significant data fiduciaries</w:t>
            </w:r>
            <w:r w:rsidRPr="00C41540">
              <w:rPr>
                <w:rFonts w:ascii="Times New Roman" w:hAnsi="Times New Roman" w:cs="Times New Roman"/>
                <w:b/>
                <w:bCs/>
              </w:rPr>
              <w:t xml:space="preserve">—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(a) volume of personal data processed;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(b) sensitivity of personal data processed;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(c) turnover of the data fiduciary;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(d) risk of harm resulting from any processing or any kind of processing undertaken by the fiduciary;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(e) use of new technologies for processing; and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(f) any other factor relevant in causing harm to any data principal </w:t>
            </w:r>
            <w:proofErr w:type="gramStart"/>
            <w:r w:rsidRPr="00C41540">
              <w:rPr>
                <w:rFonts w:ascii="Times New Roman" w:hAnsi="Times New Roman" w:cs="Times New Roman"/>
              </w:rPr>
              <w:t>as a consequence of</w:t>
            </w:r>
            <w:proofErr w:type="gramEnd"/>
            <w:r w:rsidRPr="00C41540">
              <w:rPr>
                <w:rFonts w:ascii="Times New Roman" w:hAnsi="Times New Roman" w:cs="Times New Roman"/>
              </w:rPr>
              <w:t xml:space="preserve"> such processing. </w:t>
            </w: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both"/>
              <w:rPr>
                <w:rFonts w:ascii="Times New Roman" w:hAnsi="Times New Roman" w:cs="Times New Roman"/>
              </w:rPr>
            </w:pPr>
          </w:p>
        </w:tc>
        <w:tc>
          <w:tcPr>
            <w:tcW w:w="2681" w:type="dxa"/>
          </w:tcPr>
          <w:p w:rsidR="00C41540" w:rsidRPr="00C41540" w:rsidRDefault="00C41540" w:rsidP="00C41540">
            <w:pPr>
              <w:ind w:right="-46"/>
              <w:jc w:val="both"/>
              <w:rPr>
                <w:rFonts w:ascii="Times New Roman" w:hAnsi="Times New Roman" w:cs="Times New Roman"/>
              </w:rPr>
            </w:pP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lastRenderedPageBreak/>
              <w:t xml:space="preserve">(2) The notification of a data fiduciary or classes of data fiduciaries as significant data fiduciaries by the Authority under sub-section (1) shall require such data fiduciary or class of data fiduciaries to register with the Authority in such manner as may be specified. </w:t>
            </w: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both"/>
              <w:rPr>
                <w:rFonts w:ascii="Times New Roman" w:hAnsi="Times New Roman" w:cs="Times New Roman"/>
              </w:rPr>
            </w:pPr>
          </w:p>
        </w:tc>
        <w:tc>
          <w:tcPr>
            <w:tcW w:w="2681"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(3) All or any of the following obligations in this Chapter, as determined by the Authority, shall apply only to significant data fiduciaries— </w:t>
            </w: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(a) data protection impact assessments under section 33;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(b) record-keeping under section 34;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(c) data audits under section 35; and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(d) data protection officer under section 36. </w:t>
            </w: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both"/>
              <w:rPr>
                <w:rFonts w:ascii="Times New Roman" w:hAnsi="Times New Roman" w:cs="Times New Roman"/>
              </w:rPr>
            </w:pPr>
          </w:p>
        </w:tc>
        <w:tc>
          <w:tcPr>
            <w:tcW w:w="2681" w:type="dxa"/>
          </w:tcPr>
          <w:p w:rsidR="00C41540" w:rsidRPr="00C41540" w:rsidRDefault="00C41540" w:rsidP="00C41540">
            <w:pPr>
              <w:ind w:right="-46"/>
              <w:jc w:val="both"/>
              <w:rPr>
                <w:rFonts w:ascii="Times New Roman" w:hAnsi="Times New Roman" w:cs="Times New Roman"/>
              </w:rPr>
            </w:pP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(4) Notwithstanding sub-section (3), the Authority may notify the application of all or any of the obligations in sub-section (3) to such data fiduciary or class of data fiduciaries, not being a significant data fiduciary, if it is of the view that any processing activity undertaken by such data fiduciary or class of data fiduciaries carries a risk of significant harm to data principals. </w:t>
            </w: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19,26</w:t>
            </w:r>
          </w:p>
        </w:tc>
        <w:tc>
          <w:tcPr>
            <w:tcW w:w="2681" w:type="dxa"/>
          </w:tcPr>
          <w:p w:rsidR="00C41540" w:rsidRPr="00C41540" w:rsidRDefault="00C41540" w:rsidP="00C41540">
            <w:pPr>
              <w:ind w:right="-46"/>
              <w:jc w:val="both"/>
              <w:rPr>
                <w:rFonts w:ascii="Times New Roman" w:hAnsi="Times New Roman" w:cs="Times New Roman"/>
                <w:bCs/>
              </w:rPr>
            </w:pPr>
          </w:p>
          <w:p w:rsidR="00C41540" w:rsidRPr="00C41540" w:rsidRDefault="00C41540" w:rsidP="00C41540">
            <w:pPr>
              <w:ind w:right="-46"/>
              <w:jc w:val="both"/>
              <w:rPr>
                <w:rFonts w:ascii="Times New Roman" w:hAnsi="Times New Roman" w:cs="Times New Roman"/>
                <w:bCs/>
              </w:rPr>
            </w:pPr>
            <w:r w:rsidRPr="00C41540">
              <w:rPr>
                <w:rFonts w:ascii="Times New Roman" w:hAnsi="Times New Roman" w:cs="Times New Roman"/>
                <w:bCs/>
              </w:rPr>
              <w:t>40. Restrictions on Cross-Border Transfer of Personal Data.</w:t>
            </w:r>
          </w:p>
          <w:p w:rsidR="00C41540" w:rsidRPr="00C41540" w:rsidRDefault="00C41540" w:rsidP="00C41540">
            <w:pPr>
              <w:ind w:right="-46"/>
              <w:jc w:val="both"/>
              <w:rPr>
                <w:rFonts w:ascii="Times New Roman" w:hAnsi="Times New Roman" w:cs="Times New Roman"/>
              </w:rPr>
            </w:pP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(1) Every data fiduciary shall ensure the storage, on a server or data centre located in India, of at least one serving copy of personal data to which this Act applies. </w:t>
            </w: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both"/>
              <w:rPr>
                <w:rFonts w:ascii="Times New Roman" w:hAnsi="Times New Roman" w:cs="Times New Roman"/>
              </w:rPr>
            </w:pPr>
          </w:p>
        </w:tc>
        <w:tc>
          <w:tcPr>
            <w:tcW w:w="2681" w:type="dxa"/>
          </w:tcPr>
          <w:p w:rsidR="00C41540" w:rsidRPr="00C41540" w:rsidRDefault="00C41540" w:rsidP="00C41540">
            <w:pPr>
              <w:ind w:right="-46"/>
              <w:jc w:val="both"/>
              <w:rPr>
                <w:rFonts w:ascii="Times New Roman" w:hAnsi="Times New Roman" w:cs="Times New Roman"/>
                <w:bCs/>
              </w:rPr>
            </w:pP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(2) The Central Government shall notify categories of personal data as critical personal data that shall only be processed in a server or data centre located in India. </w:t>
            </w: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both"/>
              <w:rPr>
                <w:rFonts w:ascii="Times New Roman" w:hAnsi="Times New Roman" w:cs="Times New Roman"/>
              </w:rPr>
            </w:pPr>
          </w:p>
        </w:tc>
        <w:tc>
          <w:tcPr>
            <w:tcW w:w="2681" w:type="dxa"/>
          </w:tcPr>
          <w:p w:rsidR="00C41540" w:rsidRPr="00C41540" w:rsidRDefault="00C41540" w:rsidP="00C41540">
            <w:pPr>
              <w:ind w:right="-46"/>
              <w:jc w:val="both"/>
              <w:rPr>
                <w:rFonts w:ascii="Times New Roman" w:hAnsi="Times New Roman" w:cs="Times New Roman"/>
                <w:bCs/>
              </w:rPr>
            </w:pP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(3) Notwithstanding anything contained in sub-section (1), the Central Government may notify certain categories of personal data as exempt from the requirement under sub-section (1) on the grounds of necessity or strategic interests of the State. </w:t>
            </w: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20,27</w:t>
            </w:r>
          </w:p>
        </w:tc>
        <w:tc>
          <w:tcPr>
            <w:tcW w:w="2681"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bCs/>
              </w:rPr>
            </w:pPr>
            <w:r w:rsidRPr="00C41540">
              <w:rPr>
                <w:rFonts w:ascii="Times New Roman" w:hAnsi="Times New Roman" w:cs="Times New Roman"/>
                <w:bCs/>
              </w:rPr>
              <w:t xml:space="preserve">41. Conditions for Cross-Border Transfer of Personal Data. </w:t>
            </w:r>
          </w:p>
          <w:p w:rsidR="00C41540" w:rsidRPr="00C41540" w:rsidRDefault="00C41540" w:rsidP="00C41540">
            <w:pPr>
              <w:ind w:right="-46"/>
              <w:jc w:val="both"/>
              <w:rPr>
                <w:rFonts w:ascii="Times New Roman" w:hAnsi="Times New Roman" w:cs="Times New Roman"/>
              </w:rPr>
            </w:pP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b/>
                <w:bCs/>
              </w:rPr>
            </w:pPr>
            <w:r w:rsidRPr="00C41540">
              <w:rPr>
                <w:rFonts w:ascii="Times New Roman" w:hAnsi="Times New Roman" w:cs="Times New Roman"/>
              </w:rPr>
              <w:t>(1) Personal data other than those categories of sensitive personal data notified under sub-section (2) of section 40 may be transferred outside the territory of India where</w:t>
            </w:r>
            <w:r w:rsidRPr="00C41540">
              <w:rPr>
                <w:rFonts w:ascii="Times New Roman" w:hAnsi="Times New Roman" w:cs="Times New Roman"/>
                <w:b/>
                <w:bCs/>
              </w:rPr>
              <w:t>—</w:t>
            </w: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b/>
                <w:bCs/>
              </w:rPr>
              <w:t xml:space="preserve">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(a) the transfer is made subject to standard contractual clauses or intra-group schemes that have been approved by the Authority; or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(b) the Central Government, after consultation with the Authority, has prescribed that transfers to a </w:t>
            </w:r>
            <w:proofErr w:type="gramStart"/>
            <w:r w:rsidRPr="00C41540">
              <w:rPr>
                <w:rFonts w:ascii="Times New Roman" w:hAnsi="Times New Roman" w:cs="Times New Roman"/>
              </w:rPr>
              <w:t>particular country</w:t>
            </w:r>
            <w:proofErr w:type="gramEnd"/>
            <w:r w:rsidRPr="00C41540">
              <w:rPr>
                <w:rFonts w:ascii="Times New Roman" w:hAnsi="Times New Roman" w:cs="Times New Roman"/>
              </w:rPr>
              <w:t xml:space="preserve">, or to a sector within a country or to a particular international organisation is permissible; or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(c) the Authority approves a </w:t>
            </w:r>
            <w:proofErr w:type="gramStart"/>
            <w:r w:rsidRPr="00C41540">
              <w:rPr>
                <w:rFonts w:ascii="Times New Roman" w:hAnsi="Times New Roman" w:cs="Times New Roman"/>
              </w:rPr>
              <w:t>particular transfer</w:t>
            </w:r>
            <w:proofErr w:type="gramEnd"/>
            <w:r w:rsidRPr="00C41540">
              <w:rPr>
                <w:rFonts w:ascii="Times New Roman" w:hAnsi="Times New Roman" w:cs="Times New Roman"/>
              </w:rPr>
              <w:t xml:space="preserve"> or set of transfers as permissible due to a situation of necessity; or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(d) in addition to clause (a) or (b) being satisfied, the data principal has consented to such transfer of personal data; or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(e) in addition to clause (a) or (b) being satisfied, the data principal has explicitly consented to such transfer of sensitive personal data, which does not include the categories of sensitive personal data notified under sub-section (2) of section 40. </w:t>
            </w: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both"/>
              <w:rPr>
                <w:rFonts w:ascii="Times New Roman" w:hAnsi="Times New Roman" w:cs="Times New Roman"/>
              </w:rPr>
            </w:pPr>
          </w:p>
        </w:tc>
        <w:tc>
          <w:tcPr>
            <w:tcW w:w="2681" w:type="dxa"/>
          </w:tcPr>
          <w:p w:rsidR="00C41540" w:rsidRPr="00C41540" w:rsidRDefault="00C41540" w:rsidP="00C41540">
            <w:pPr>
              <w:ind w:right="-46"/>
              <w:jc w:val="both"/>
              <w:rPr>
                <w:rFonts w:ascii="Times New Roman" w:hAnsi="Times New Roman" w:cs="Times New Roman"/>
              </w:rPr>
            </w:pP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(2) The Central Government may only prescribe the permissibility of transfers under clause (b) of sub-section (1) where it finds that the relevant personal data shall be subject to an adequate level of protection, having regard to the applicable laws and international agreements, and the effectiveness of the enforcement by authorities with appropriate jurisdiction, and shall monitor the circumstances applicable to such data in order to review decisions made under this sub-section. </w:t>
            </w: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both"/>
              <w:rPr>
                <w:rFonts w:ascii="Times New Roman" w:hAnsi="Times New Roman" w:cs="Times New Roman"/>
              </w:rPr>
            </w:pPr>
          </w:p>
        </w:tc>
        <w:tc>
          <w:tcPr>
            <w:tcW w:w="2681" w:type="dxa"/>
          </w:tcPr>
          <w:p w:rsidR="00C41540" w:rsidRPr="00C41540" w:rsidRDefault="00C41540" w:rsidP="00C41540">
            <w:pPr>
              <w:ind w:right="-46"/>
              <w:jc w:val="both"/>
              <w:rPr>
                <w:rFonts w:ascii="Times New Roman" w:hAnsi="Times New Roman" w:cs="Times New Roman"/>
              </w:rPr>
            </w:pP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b/>
                <w:bCs/>
              </w:rPr>
            </w:pPr>
            <w:r w:rsidRPr="00C41540">
              <w:rPr>
                <w:rFonts w:ascii="Times New Roman" w:hAnsi="Times New Roman" w:cs="Times New Roman"/>
              </w:rPr>
              <w:t>(3) Notwithstanding sub-section (2) of Section 40, sensitive personal data notified by the Central Government may be transferred outside the territory of India</w:t>
            </w:r>
            <w:r w:rsidRPr="00C41540">
              <w:rPr>
                <w:rFonts w:ascii="Times New Roman" w:hAnsi="Times New Roman" w:cs="Times New Roman"/>
                <w:b/>
                <w:bCs/>
              </w:rPr>
              <w:t xml:space="preserve">— </w:t>
            </w: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(a) to a </w:t>
            </w:r>
            <w:proofErr w:type="gramStart"/>
            <w:r w:rsidRPr="00C41540">
              <w:rPr>
                <w:rFonts w:ascii="Times New Roman" w:hAnsi="Times New Roman" w:cs="Times New Roman"/>
              </w:rPr>
              <w:t>particular person</w:t>
            </w:r>
            <w:proofErr w:type="gramEnd"/>
            <w:r w:rsidRPr="00C41540">
              <w:rPr>
                <w:rFonts w:ascii="Times New Roman" w:hAnsi="Times New Roman" w:cs="Times New Roman"/>
              </w:rPr>
              <w:t xml:space="preserve"> or entity engaged in the provision of health services or emergency services where such transfer is strictly necessary for prompt action under section 16; and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(b) to a </w:t>
            </w:r>
            <w:proofErr w:type="gramStart"/>
            <w:r w:rsidRPr="00C41540">
              <w:rPr>
                <w:rFonts w:ascii="Times New Roman" w:hAnsi="Times New Roman" w:cs="Times New Roman"/>
              </w:rPr>
              <w:t>particular country</w:t>
            </w:r>
            <w:proofErr w:type="gramEnd"/>
            <w:r w:rsidRPr="00C41540">
              <w:rPr>
                <w:rFonts w:ascii="Times New Roman" w:hAnsi="Times New Roman" w:cs="Times New Roman"/>
              </w:rPr>
              <w:t xml:space="preserve">, a prescribed sector within a country or to a particular international organisation that has been prescribed under clause (b) of sub-section (1), where the Central Government is satisfied that such transfer or class of transfers is necessary for any class of data fiduciaries or data principals and does not hamper the effective enforcement of this Act. </w:t>
            </w: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center"/>
              <w:rPr>
                <w:rFonts w:ascii="Times New Roman" w:hAnsi="Times New Roman" w:cs="Times New Roman"/>
              </w:rPr>
            </w:pPr>
            <w:r w:rsidRPr="00C41540">
              <w:rPr>
                <w:rFonts w:ascii="Times New Roman" w:hAnsi="Times New Roman" w:cs="Times New Roman"/>
              </w:rPr>
              <w:t>21</w:t>
            </w:r>
          </w:p>
        </w:tc>
        <w:tc>
          <w:tcPr>
            <w:tcW w:w="2681"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bCs/>
              </w:rPr>
            </w:pPr>
            <w:r w:rsidRPr="00C41540">
              <w:rPr>
                <w:rFonts w:ascii="Times New Roman" w:hAnsi="Times New Roman" w:cs="Times New Roman"/>
                <w:bCs/>
              </w:rPr>
              <w:t>60. Powers and Functions of the Authority</w:t>
            </w:r>
          </w:p>
          <w:p w:rsidR="00C41540" w:rsidRPr="00C41540" w:rsidRDefault="00C41540" w:rsidP="00C41540">
            <w:pPr>
              <w:ind w:right="-46"/>
              <w:jc w:val="both"/>
              <w:rPr>
                <w:rFonts w:ascii="Times New Roman" w:hAnsi="Times New Roman" w:cs="Times New Roman"/>
              </w:rPr>
            </w:pP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(2) Without prejudice to the generality of the foregoing and other functions set out under this Act. </w:t>
            </w: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(b) specifying reasonable purposes for which personal data may be processed under section 17 of this Act; </w:t>
            </w:r>
          </w:p>
          <w:p w:rsidR="00C41540" w:rsidRPr="00C41540" w:rsidRDefault="00C41540" w:rsidP="00C41540">
            <w:pPr>
              <w:ind w:left="720" w:right="-46"/>
              <w:jc w:val="both"/>
              <w:rPr>
                <w:rFonts w:ascii="Times New Roman" w:hAnsi="Times New Roman" w:cs="Times New Roman"/>
              </w:rPr>
            </w:pP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(c) specifying residuary categories of sensitive personal data under section 22 of this Act; </w:t>
            </w: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lastRenderedPageBreak/>
              <w:t xml:space="preserve">(f) maintaining a database on its website containing names of significant data fiduciaries along with a rating in the form of a data trust score indicating compliance with the obligations of this Act by such fiduciaries; </w:t>
            </w:r>
          </w:p>
          <w:p w:rsidR="00C41540" w:rsidRPr="00C41540" w:rsidRDefault="00C41540" w:rsidP="00C41540">
            <w:pPr>
              <w:ind w:left="720" w:right="-46"/>
              <w:jc w:val="both"/>
              <w:rPr>
                <w:rFonts w:ascii="Times New Roman" w:hAnsi="Times New Roman" w:cs="Times New Roman"/>
              </w:rPr>
            </w:pP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(g) specifying the criteria for assigning a rating in the form of a data trust score by a data auditor having regard to the factors mentioned in sub-section (2) of section 35; </w:t>
            </w:r>
          </w:p>
          <w:p w:rsidR="00C41540" w:rsidRPr="00C41540" w:rsidRDefault="00C41540" w:rsidP="00C41540">
            <w:pPr>
              <w:ind w:left="720" w:right="-46"/>
              <w:jc w:val="both"/>
              <w:rPr>
                <w:rFonts w:ascii="Times New Roman" w:hAnsi="Times New Roman" w:cs="Times New Roman"/>
              </w:rPr>
            </w:pP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(h) examination of any data audit reports submitted under section 35 of this Act and taking any action pursuant thereto in accordance with the provisions of this Act;</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w:t>
            </w:r>
            <w:proofErr w:type="spellStart"/>
            <w:r w:rsidRPr="00C41540">
              <w:rPr>
                <w:rFonts w:ascii="Times New Roman" w:hAnsi="Times New Roman" w:cs="Times New Roman"/>
              </w:rPr>
              <w:t>i</w:t>
            </w:r>
            <w:proofErr w:type="spellEnd"/>
            <w:r w:rsidRPr="00C41540">
              <w:rPr>
                <w:rFonts w:ascii="Times New Roman" w:hAnsi="Times New Roman" w:cs="Times New Roman"/>
              </w:rPr>
              <w:t xml:space="preserve">) issuance of a certificate of registration to data auditors and renewal, modification, withdrawal, suspension or cancellation thereof and maintaining a database on its website of such registered data auditors and specifying the requisite qualifications, code of conduct, practical training and functions to be performed by such data auditors;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(j) categorisation and issuance of certificate of registration to significant data fiduciaries and renewal, modification, withdrawal, suspension or cancellation thereof under section 38;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(o) monitoring technological developments and commercial practices that may affect protection of personal data;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 (x) performing such other functions, including maintaining, updating and submitting any records, documents, books, registers or any other data, as may be prescribed. </w:t>
            </w: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center"/>
              <w:rPr>
                <w:rFonts w:ascii="Times New Roman" w:hAnsi="Times New Roman" w:cs="Times New Roman"/>
              </w:rPr>
            </w:pPr>
            <w:r w:rsidRPr="00C41540">
              <w:rPr>
                <w:rFonts w:ascii="Times New Roman" w:hAnsi="Times New Roman" w:cs="Times New Roman"/>
              </w:rPr>
              <w:t>23</w:t>
            </w:r>
          </w:p>
        </w:tc>
        <w:tc>
          <w:tcPr>
            <w:tcW w:w="2681"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bCs/>
              </w:rPr>
              <w:t>68. Appointment of Adjudicating Officer</w:t>
            </w: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(1) Without prejudice to any other provision of this Act and </w:t>
            </w:r>
            <w:proofErr w:type="gramStart"/>
            <w:r w:rsidRPr="00C41540">
              <w:rPr>
                <w:rFonts w:ascii="Times New Roman" w:hAnsi="Times New Roman" w:cs="Times New Roman"/>
              </w:rPr>
              <w:t>for the purpose of</w:t>
            </w:r>
            <w:proofErr w:type="gramEnd"/>
            <w:r w:rsidRPr="00C41540">
              <w:rPr>
                <w:rFonts w:ascii="Times New Roman" w:hAnsi="Times New Roman" w:cs="Times New Roman"/>
              </w:rPr>
              <w:t xml:space="preserve"> imposing of penalties under section69 to section 73 or awarding compensation under section 75, the Authority shall have a separate adjudication wing.</w:t>
            </w: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center"/>
              <w:rPr>
                <w:rFonts w:ascii="Times New Roman" w:hAnsi="Times New Roman" w:cs="Times New Roman"/>
              </w:rPr>
            </w:pPr>
            <w:r w:rsidRPr="00C41540">
              <w:rPr>
                <w:rFonts w:ascii="Times New Roman" w:hAnsi="Times New Roman" w:cs="Times New Roman"/>
              </w:rPr>
              <w:t>22</w:t>
            </w:r>
          </w:p>
        </w:tc>
        <w:tc>
          <w:tcPr>
            <w:tcW w:w="2681"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bCs/>
              </w:rPr>
            </w:pPr>
            <w:r w:rsidRPr="00C41540">
              <w:rPr>
                <w:rFonts w:ascii="Times New Roman" w:hAnsi="Times New Roman" w:cs="Times New Roman"/>
                <w:bCs/>
              </w:rPr>
              <w:t>69. Penalties</w:t>
            </w:r>
          </w:p>
          <w:p w:rsidR="00C41540" w:rsidRPr="00C41540" w:rsidRDefault="00C41540" w:rsidP="00C41540">
            <w:pPr>
              <w:ind w:right="-46"/>
              <w:jc w:val="both"/>
              <w:rPr>
                <w:rFonts w:ascii="Times New Roman" w:hAnsi="Times New Roman" w:cs="Times New Roman"/>
              </w:rPr>
            </w:pP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(1) Where the data fiduciary contravenes any of the following provisions, it shall be liable to a penalty which may extend up to five crore rupees or two per cent of its total worldwide turnover of the preceding financial year, whichever is higher, as applicable</w:t>
            </w:r>
            <w:r w:rsidRPr="00C41540">
              <w:rPr>
                <w:rFonts w:ascii="Times New Roman" w:hAnsi="Times New Roman" w:cs="Times New Roman"/>
                <w:b/>
                <w:bCs/>
              </w:rPr>
              <w:t xml:space="preserve">— </w:t>
            </w: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(a) obligation to take prompt and appropriate action in response to a data security breach under section 32 of this Act;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(b) obligation to undertake a data protection impact assessment by a significant data fiduciary under section 33 of this Act;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(c) obligation to conduct a data audit by a significant data fiduciary under section 35 of this Act;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(d) appointment of a data protection officer by a significant data fiduciary undersection 36 of this Act;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(e) failure to register with the Authority under sub-section (2) of section 38. </w:t>
            </w:r>
          </w:p>
        </w:tc>
        <w:tc>
          <w:tcPr>
            <w:tcW w:w="3793"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tc>
        <w:tc>
          <w:tcPr>
            <w:tcW w:w="2681"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(2) Where a data fiduciary contravenes any of the following provisions, it shall be liable to a penalty which may extend up to fifteen crore rupees or four per cent of its total worldwide turnover of the preceding financial year, whichever is higher, as applicable</w:t>
            </w:r>
            <w:r w:rsidRPr="00C41540">
              <w:rPr>
                <w:rFonts w:ascii="Times New Roman" w:hAnsi="Times New Roman" w:cs="Times New Roman"/>
                <w:b/>
                <w:bCs/>
              </w:rPr>
              <w:t xml:space="preserve">— </w:t>
            </w: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(a) processing of personal data in violation of the provisions of Chapter II;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(b) processing of personal data in violation of the provisions of Chapter III;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(c) processing of sensitive personal data in violation of the provisions of Chapter IV of this Act;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(d) processing of personal data of children in violation of the provisions of Chapter V;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(e) failure to adhere to security safeguards as per section 31 of this Act;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(f) transfer of personal data outside India in violation of section 41 of this Act. </w:t>
            </w: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both"/>
              <w:rPr>
                <w:rFonts w:ascii="Times New Roman" w:hAnsi="Times New Roman" w:cs="Times New Roman"/>
              </w:rPr>
            </w:pPr>
          </w:p>
        </w:tc>
        <w:tc>
          <w:tcPr>
            <w:tcW w:w="2681" w:type="dxa"/>
          </w:tcPr>
          <w:p w:rsidR="00C41540" w:rsidRPr="00C41540" w:rsidRDefault="00C41540" w:rsidP="00C41540">
            <w:pPr>
              <w:ind w:right="-46"/>
              <w:jc w:val="both"/>
              <w:rPr>
                <w:rFonts w:ascii="Times New Roman" w:hAnsi="Times New Roman" w:cs="Times New Roman"/>
                <w:bCs/>
              </w:rPr>
            </w:pPr>
          </w:p>
          <w:p w:rsidR="00C41540" w:rsidRPr="00C41540" w:rsidRDefault="00C41540" w:rsidP="00C41540">
            <w:pPr>
              <w:ind w:right="-46"/>
              <w:jc w:val="both"/>
              <w:rPr>
                <w:rFonts w:ascii="Times New Roman" w:hAnsi="Times New Roman" w:cs="Times New Roman"/>
                <w:bCs/>
              </w:rPr>
            </w:pPr>
            <w:r w:rsidRPr="00C41540">
              <w:rPr>
                <w:rFonts w:ascii="Times New Roman" w:hAnsi="Times New Roman" w:cs="Times New Roman"/>
                <w:bCs/>
              </w:rPr>
              <w:t>70. Penalty for failure to comply with data principal requests under Chapter VI.</w:t>
            </w:r>
          </w:p>
          <w:p w:rsidR="00C41540" w:rsidRPr="00C41540" w:rsidRDefault="00C41540" w:rsidP="00C41540">
            <w:pPr>
              <w:ind w:right="-46"/>
              <w:jc w:val="both"/>
              <w:rPr>
                <w:rFonts w:ascii="Times New Roman" w:hAnsi="Times New Roman" w:cs="Times New Roman"/>
              </w:rPr>
            </w:pP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Where, any data fiduciary, without any reasonable explanation, fails to comply with any request made by a data principal under Chapter VI of this Act, such data fiduciary shall be liable to a penalty of five thousand rupees for each day during which such default continues, subject to a maximum of ten lakh rupees in case of significant data fiduciaries and five lakh rupees in other cases.</w:t>
            </w: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both"/>
              <w:rPr>
                <w:rFonts w:ascii="Times New Roman" w:hAnsi="Times New Roman" w:cs="Times New Roman"/>
              </w:rPr>
            </w:pPr>
          </w:p>
        </w:tc>
        <w:tc>
          <w:tcPr>
            <w:tcW w:w="2681"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bCs/>
              </w:rPr>
              <w:t>71. Penalty for failure to furnish report, returns, information, etc</w:t>
            </w: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If any data fiduciary, who is required under this Act, or rules prescribed or regulations specified thereunder, to furnish any report, return or information to the Authority, fails to furnish the same, then such data fiduciary shall be liable to penalty which shall be ten thousand rupees for each day during which such default continues, subject to a maximum of twenty lakh rupees in case of significant data fiduciaries and five lakh rupees in other cases.</w:t>
            </w: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both"/>
              <w:rPr>
                <w:rFonts w:ascii="Times New Roman" w:hAnsi="Times New Roman" w:cs="Times New Roman"/>
              </w:rPr>
            </w:pPr>
          </w:p>
        </w:tc>
        <w:tc>
          <w:tcPr>
            <w:tcW w:w="2681"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bCs/>
              </w:rPr>
            </w:pPr>
            <w:r w:rsidRPr="00C41540">
              <w:rPr>
                <w:rFonts w:ascii="Times New Roman" w:hAnsi="Times New Roman" w:cs="Times New Roman"/>
                <w:bCs/>
              </w:rPr>
              <w:t xml:space="preserve">73. Penalty for contravention where no separate penalty has been provided. </w:t>
            </w:r>
          </w:p>
          <w:p w:rsidR="00C41540" w:rsidRPr="00C41540" w:rsidRDefault="00C41540" w:rsidP="00C41540">
            <w:pPr>
              <w:ind w:right="-46"/>
              <w:jc w:val="both"/>
              <w:rPr>
                <w:rFonts w:ascii="Times New Roman" w:hAnsi="Times New Roman" w:cs="Times New Roman"/>
              </w:rPr>
            </w:pP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Where any person fails to comply with any provision of this Act, or rules prescribed or regulations specified thereunder as applicable to such person, for which no separate penalty has been provided, then such person shall be liable to a penalty </w:t>
            </w:r>
            <w:r w:rsidRPr="00C41540">
              <w:rPr>
                <w:rFonts w:ascii="Times New Roman" w:hAnsi="Times New Roman" w:cs="Times New Roman"/>
              </w:rPr>
              <w:lastRenderedPageBreak/>
              <w:t>subject to a maximum of one crore rupees in case of significant data fiduciaries, and a maximum of twenty five lakh rupees in all other cases.</w:t>
            </w: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22</w:t>
            </w:r>
          </w:p>
        </w:tc>
        <w:tc>
          <w:tcPr>
            <w:tcW w:w="2681"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bCs/>
              </w:rPr>
            </w:pPr>
            <w:r w:rsidRPr="00C41540">
              <w:rPr>
                <w:rFonts w:ascii="Times New Roman" w:hAnsi="Times New Roman" w:cs="Times New Roman"/>
                <w:bCs/>
              </w:rPr>
              <w:t>75. Compensation</w:t>
            </w:r>
          </w:p>
          <w:p w:rsidR="00C41540" w:rsidRPr="00C41540" w:rsidRDefault="00C41540" w:rsidP="00C41540">
            <w:pPr>
              <w:ind w:right="-46"/>
              <w:jc w:val="both"/>
              <w:rPr>
                <w:rFonts w:ascii="Times New Roman" w:hAnsi="Times New Roman" w:cs="Times New Roman"/>
              </w:rPr>
            </w:pP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numPr>
                <w:ilvl w:val="0"/>
                <w:numId w:val="5"/>
              </w:numPr>
              <w:ind w:right="-46"/>
              <w:contextualSpacing/>
              <w:jc w:val="both"/>
              <w:rPr>
                <w:rFonts w:ascii="Times New Roman" w:hAnsi="Times New Roman" w:cs="Times New Roman"/>
              </w:rPr>
            </w:pPr>
            <w:r w:rsidRPr="00C41540">
              <w:rPr>
                <w:rFonts w:ascii="Times New Roman" w:hAnsi="Times New Roman" w:cs="Times New Roman"/>
              </w:rPr>
              <w:t xml:space="preserve">Any data principal who has suffered harm </w:t>
            </w:r>
            <w:proofErr w:type="gramStart"/>
            <w:r w:rsidRPr="00C41540">
              <w:rPr>
                <w:rFonts w:ascii="Times New Roman" w:hAnsi="Times New Roman" w:cs="Times New Roman"/>
              </w:rPr>
              <w:t>as a result of</w:t>
            </w:r>
            <w:proofErr w:type="gramEnd"/>
            <w:r w:rsidRPr="00C41540">
              <w:rPr>
                <w:rFonts w:ascii="Times New Roman" w:hAnsi="Times New Roman" w:cs="Times New Roman"/>
              </w:rPr>
              <w:t xml:space="preserve"> any violation of any provision under this Act, or rules prescribed, or regulations specified hereunder, by a data fiduciary or a data processor, shall have the right to seek compensation from the data fiduciary or the data processor, as the case may be.</w:t>
            </w:r>
          </w:p>
          <w:p w:rsidR="00C41540" w:rsidRPr="00C41540" w:rsidRDefault="00C41540" w:rsidP="00C41540">
            <w:pPr>
              <w:ind w:left="720" w:right="-46"/>
              <w:contextualSpacing/>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both"/>
              <w:rPr>
                <w:rFonts w:ascii="Times New Roman" w:hAnsi="Times New Roman" w:cs="Times New Roman"/>
              </w:rPr>
            </w:pPr>
          </w:p>
        </w:tc>
        <w:tc>
          <w:tcPr>
            <w:tcW w:w="2681"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(5) Where more than one data fiduciary or data processor, or both a data fiduciary and a data processor are involved in the same processing activity and are found to have caused harm to the data principal as per this section, then each data fiduciary or data processor may be ordered to pay the entire compensation for the harm in order to ensure effective and speedy compensation to the data principal. </w:t>
            </w: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both"/>
              <w:rPr>
                <w:rFonts w:ascii="Times New Roman" w:hAnsi="Times New Roman" w:cs="Times New Roman"/>
              </w:rPr>
            </w:pPr>
          </w:p>
        </w:tc>
        <w:tc>
          <w:tcPr>
            <w:tcW w:w="2681" w:type="dxa"/>
          </w:tcPr>
          <w:p w:rsidR="00C41540" w:rsidRPr="00C41540" w:rsidRDefault="00C41540" w:rsidP="00C41540">
            <w:pPr>
              <w:ind w:right="-46"/>
              <w:jc w:val="both"/>
              <w:rPr>
                <w:rFonts w:ascii="Times New Roman" w:hAnsi="Times New Roman" w:cs="Times New Roman"/>
              </w:rPr>
            </w:pP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(6) Where a data fiduciary or a data processor has, in accordance with sub-section (5), paid the entire amount of compensation for the harm suffered by the data principal, such data fiduciary or data processor shall be entitled to claim from the other data fiduciaries or data processors, as the case may be, that amount of compensation corresponding to their part of responsibility for the harm caused. </w:t>
            </w: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both"/>
              <w:rPr>
                <w:rFonts w:ascii="Times New Roman" w:hAnsi="Times New Roman" w:cs="Times New Roman"/>
              </w:rPr>
            </w:pPr>
          </w:p>
        </w:tc>
        <w:tc>
          <w:tcPr>
            <w:tcW w:w="2681" w:type="dxa"/>
          </w:tcPr>
          <w:p w:rsidR="00C41540" w:rsidRPr="00C41540" w:rsidRDefault="00C41540" w:rsidP="00C41540">
            <w:pPr>
              <w:ind w:right="-46"/>
              <w:jc w:val="both"/>
              <w:rPr>
                <w:rFonts w:ascii="Times New Roman" w:hAnsi="Times New Roman" w:cs="Times New Roman"/>
                <w:bCs/>
              </w:rPr>
            </w:pPr>
          </w:p>
          <w:p w:rsidR="00C41540" w:rsidRPr="00C41540" w:rsidRDefault="00C41540" w:rsidP="00C41540">
            <w:pPr>
              <w:ind w:right="-46"/>
              <w:jc w:val="both"/>
              <w:rPr>
                <w:rFonts w:ascii="Times New Roman" w:hAnsi="Times New Roman" w:cs="Times New Roman"/>
                <w:bCs/>
              </w:rPr>
            </w:pPr>
            <w:r w:rsidRPr="00C41540">
              <w:rPr>
                <w:rFonts w:ascii="Times New Roman" w:hAnsi="Times New Roman" w:cs="Times New Roman"/>
                <w:bCs/>
              </w:rPr>
              <w:t>76. Compensation or penalties not to interfere with other punishment</w:t>
            </w: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No compensation awarded, or penalty imposed, under this Act shall prevent the award of compensation or imposition of any other penalty or punishment under any other law for the time being in force.</w:t>
            </w: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both"/>
              <w:rPr>
                <w:rFonts w:ascii="Times New Roman" w:hAnsi="Times New Roman" w:cs="Times New Roman"/>
              </w:rPr>
            </w:pPr>
          </w:p>
        </w:tc>
        <w:tc>
          <w:tcPr>
            <w:tcW w:w="2681" w:type="dxa"/>
          </w:tcPr>
          <w:p w:rsidR="00C41540" w:rsidRPr="00C41540" w:rsidRDefault="00C41540" w:rsidP="00C41540">
            <w:pPr>
              <w:ind w:right="-46"/>
              <w:jc w:val="both"/>
              <w:rPr>
                <w:rFonts w:ascii="Times New Roman" w:hAnsi="Times New Roman" w:cs="Times New Roman"/>
                <w:bCs/>
              </w:rPr>
            </w:pPr>
          </w:p>
          <w:p w:rsidR="00C41540" w:rsidRPr="00C41540" w:rsidRDefault="00C41540" w:rsidP="00C41540">
            <w:pPr>
              <w:ind w:right="-46"/>
              <w:jc w:val="both"/>
              <w:rPr>
                <w:rFonts w:ascii="Times New Roman" w:hAnsi="Times New Roman" w:cs="Times New Roman"/>
                <w:bCs/>
              </w:rPr>
            </w:pPr>
            <w:r w:rsidRPr="00C41540">
              <w:rPr>
                <w:rFonts w:ascii="Times New Roman" w:hAnsi="Times New Roman" w:cs="Times New Roman"/>
                <w:bCs/>
              </w:rPr>
              <w:t>77. Data Protection Funds</w:t>
            </w:r>
          </w:p>
          <w:p w:rsidR="00C41540" w:rsidRPr="00C41540" w:rsidRDefault="00C41540" w:rsidP="00C41540">
            <w:pPr>
              <w:ind w:right="-46"/>
              <w:jc w:val="both"/>
              <w:rPr>
                <w:rFonts w:ascii="Times New Roman" w:hAnsi="Times New Roman" w:cs="Times New Roman"/>
              </w:rPr>
            </w:pP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(1) There shall be constituted a fund to be called the Data Protection Authority Fund to which the following shall be credited</w:t>
            </w:r>
            <w:r w:rsidRPr="00C41540">
              <w:rPr>
                <w:rFonts w:ascii="Times New Roman" w:hAnsi="Times New Roman" w:cs="Times New Roman"/>
                <w:b/>
                <w:bCs/>
              </w:rPr>
              <w:t xml:space="preserve">— </w:t>
            </w: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(a) all Government grants, fees and charges received by the Authority under this Act;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(b) all sums received by the Authority from such other source as may be decided upon by the Central Government, but which shall not include the sums mentioned in sub-section (3). </w:t>
            </w: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(c) The Data Protection Authority Fund shall be applied for meeting</w:t>
            </w:r>
            <w:r w:rsidRPr="00C41540">
              <w:rPr>
                <w:rFonts w:ascii="Times New Roman" w:hAnsi="Times New Roman" w:cs="Times New Roman"/>
                <w:b/>
                <w:bCs/>
              </w:rPr>
              <w:t xml:space="preserve">— </w:t>
            </w: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w:t>
            </w:r>
            <w:proofErr w:type="spellStart"/>
            <w:r w:rsidRPr="00C41540">
              <w:rPr>
                <w:rFonts w:ascii="Times New Roman" w:hAnsi="Times New Roman" w:cs="Times New Roman"/>
              </w:rPr>
              <w:t>i</w:t>
            </w:r>
            <w:proofErr w:type="spellEnd"/>
            <w:r w:rsidRPr="00C41540">
              <w:rPr>
                <w:rFonts w:ascii="Times New Roman" w:hAnsi="Times New Roman" w:cs="Times New Roman"/>
              </w:rPr>
              <w:t xml:space="preserve">) the salaries, allowances and other remuneration of the chairperson, members, officers, employees, consultants and experts appointed by the Authority; and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(ii) the other expenses of the Authority in connection with the discharge of its functions and for the purposes of this Act. </w:t>
            </w: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23</w:t>
            </w:r>
          </w:p>
        </w:tc>
        <w:tc>
          <w:tcPr>
            <w:tcW w:w="2681"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bCs/>
              </w:rPr>
            </w:pPr>
            <w:r w:rsidRPr="00C41540">
              <w:rPr>
                <w:rFonts w:ascii="Times New Roman" w:hAnsi="Times New Roman" w:cs="Times New Roman"/>
                <w:bCs/>
              </w:rPr>
              <w:t>79. Establishment of Appellate Tribunal</w:t>
            </w:r>
          </w:p>
          <w:p w:rsidR="00C41540" w:rsidRPr="00C41540" w:rsidRDefault="00C41540" w:rsidP="00C41540">
            <w:pPr>
              <w:ind w:right="-46"/>
              <w:jc w:val="both"/>
              <w:rPr>
                <w:rFonts w:ascii="Times New Roman" w:hAnsi="Times New Roman" w:cs="Times New Roman"/>
              </w:rPr>
            </w:pP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(1) The Central Government shall, by notification, establish an Appellate Tribunal to</w:t>
            </w:r>
            <w:r w:rsidRPr="00C41540">
              <w:rPr>
                <w:rFonts w:ascii="Times New Roman" w:hAnsi="Times New Roman" w:cs="Times New Roman"/>
                <w:b/>
                <w:bCs/>
              </w:rPr>
              <w:t xml:space="preserve">—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(a) hear and dispose of any appeal from an order of the Adjudicating Officer under sub-section (5) of section 39;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(b) hear and dispose of any appeal from an order of the Authority under sub-section (2) of section 65;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(c) hear and dispose of an application under sub-section (9) of section 66;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(d) hear and dispose of any appeal from an order of the Adjudicating Officer under sub-section (5) of section 74; and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(e) hear and dispose of any appeal </w:t>
            </w: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29</w:t>
            </w:r>
          </w:p>
        </w:tc>
        <w:tc>
          <w:tcPr>
            <w:tcW w:w="2681" w:type="dxa"/>
          </w:tcPr>
          <w:p w:rsidR="00C41540" w:rsidRPr="00C41540" w:rsidRDefault="00C41540" w:rsidP="00C41540">
            <w:pPr>
              <w:ind w:right="-46"/>
              <w:jc w:val="both"/>
              <w:rPr>
                <w:rFonts w:ascii="Times New Roman" w:hAnsi="Times New Roman" w:cs="Times New Roman"/>
                <w:bCs/>
              </w:rPr>
            </w:pPr>
          </w:p>
          <w:p w:rsidR="00C41540" w:rsidRPr="00C41540" w:rsidRDefault="00C41540" w:rsidP="00C41540">
            <w:pPr>
              <w:ind w:right="-46"/>
              <w:jc w:val="both"/>
              <w:rPr>
                <w:rFonts w:ascii="Times New Roman" w:hAnsi="Times New Roman" w:cs="Times New Roman"/>
                <w:bCs/>
              </w:rPr>
            </w:pPr>
          </w:p>
          <w:p w:rsidR="00C41540" w:rsidRPr="00C41540" w:rsidRDefault="00C41540" w:rsidP="00C41540">
            <w:pPr>
              <w:ind w:right="-46"/>
              <w:jc w:val="both"/>
              <w:rPr>
                <w:rFonts w:ascii="Times New Roman" w:hAnsi="Times New Roman" w:cs="Times New Roman"/>
                <w:bCs/>
              </w:rPr>
            </w:pPr>
            <w:r w:rsidRPr="00C41540">
              <w:rPr>
                <w:rFonts w:ascii="Times New Roman" w:hAnsi="Times New Roman" w:cs="Times New Roman"/>
                <w:bCs/>
              </w:rPr>
              <w:t>95. Offences by companies.</w:t>
            </w:r>
          </w:p>
          <w:p w:rsidR="00C41540" w:rsidRPr="00C41540" w:rsidRDefault="00C41540" w:rsidP="00C41540">
            <w:pPr>
              <w:ind w:right="-46"/>
              <w:jc w:val="both"/>
              <w:rPr>
                <w:rFonts w:ascii="Times New Roman" w:hAnsi="Times New Roman" w:cs="Times New Roman"/>
              </w:rPr>
            </w:pP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(1) Where an offence under this Act has been committed by a company, every person who, at the time the offence was committed was in charge of, and was responsible to, the company for the conduct of the business of the company, as well as the company, shall be deemed to be guilty of the offence and shall be liable to be proceeded against and punished accordingly. </w:t>
            </w: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both"/>
              <w:rPr>
                <w:rFonts w:ascii="Times New Roman" w:hAnsi="Times New Roman" w:cs="Times New Roman"/>
              </w:rPr>
            </w:pPr>
          </w:p>
        </w:tc>
        <w:tc>
          <w:tcPr>
            <w:tcW w:w="2681"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(3) Notwithstanding anything contained in sub-section (1), where an offence under this Act has been committed by a company and it is proved that the offence has been committed with the consent or connivance of, or is attributable to any neglect on the part of, any director, manager, secretary or other officer of the company, such director, manager, secretary or other officer shall also be deemed to be guilty of the offence and shall be liable to be proceeded against and punished accordingly.</w:t>
            </w: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24,30</w:t>
            </w:r>
          </w:p>
        </w:tc>
        <w:tc>
          <w:tcPr>
            <w:tcW w:w="2681"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bCs/>
              </w:rPr>
              <w:t xml:space="preserve">97. Transitional provisions and commencement. </w:t>
            </w: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(6) The Authority, shall, no later than twelve months from the notified date issue codes of practice on the following matters</w:t>
            </w:r>
            <w:r w:rsidRPr="00C41540">
              <w:rPr>
                <w:rFonts w:ascii="Times New Roman" w:hAnsi="Times New Roman" w:cs="Times New Roman"/>
                <w:b/>
                <w:bCs/>
              </w:rPr>
              <w:t xml:space="preserve">— </w:t>
            </w: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(a) notice under section 8;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(b) data quality under section 9;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(c) storage limitation under section 10;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(d) processing of personal data under Chapter III;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(e) processing of sensitive personal data under Chapter IV;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(f) security safeguards under section 31;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(g) research purposes under section 45;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(h) exercise of data principal rights under Chapter VI;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w:t>
            </w:r>
            <w:proofErr w:type="spellStart"/>
            <w:r w:rsidRPr="00C41540">
              <w:rPr>
                <w:rFonts w:ascii="Times New Roman" w:hAnsi="Times New Roman" w:cs="Times New Roman"/>
              </w:rPr>
              <w:t>i</w:t>
            </w:r>
            <w:proofErr w:type="spellEnd"/>
            <w:r w:rsidRPr="00C41540">
              <w:rPr>
                <w:rFonts w:ascii="Times New Roman" w:hAnsi="Times New Roman" w:cs="Times New Roman"/>
              </w:rPr>
              <w:t xml:space="preserve">) methods of de-identification and anonymisation; and </w:t>
            </w:r>
          </w:p>
          <w:p w:rsidR="00C41540" w:rsidRPr="00C41540" w:rsidRDefault="00C41540" w:rsidP="00C41540">
            <w:pPr>
              <w:ind w:left="720" w:right="-46"/>
              <w:jc w:val="both"/>
              <w:rPr>
                <w:rFonts w:ascii="Times New Roman" w:hAnsi="Times New Roman" w:cs="Times New Roman"/>
              </w:rPr>
            </w:pPr>
            <w:r w:rsidRPr="00C41540">
              <w:rPr>
                <w:rFonts w:ascii="Times New Roman" w:hAnsi="Times New Roman" w:cs="Times New Roman"/>
              </w:rPr>
              <w:t xml:space="preserve">(j) transparency and accountability measures under chapter VII. </w:t>
            </w: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both"/>
              <w:rPr>
                <w:rFonts w:ascii="Times New Roman" w:hAnsi="Times New Roman" w:cs="Times New Roman"/>
              </w:rPr>
            </w:pPr>
          </w:p>
        </w:tc>
        <w:tc>
          <w:tcPr>
            <w:tcW w:w="2681" w:type="dxa"/>
          </w:tcPr>
          <w:p w:rsidR="00C41540" w:rsidRPr="00C41540" w:rsidRDefault="00C41540" w:rsidP="00C41540">
            <w:pPr>
              <w:ind w:right="-46"/>
              <w:jc w:val="both"/>
              <w:rPr>
                <w:rFonts w:ascii="Times New Roman" w:hAnsi="Times New Roman" w:cs="Times New Roman"/>
              </w:rPr>
            </w:pP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(7) Section 40 shall come into force on such date as is notified by the Central Government </w:t>
            </w:r>
            <w:proofErr w:type="gramStart"/>
            <w:r w:rsidRPr="00C41540">
              <w:rPr>
                <w:rFonts w:ascii="Times New Roman" w:hAnsi="Times New Roman" w:cs="Times New Roman"/>
              </w:rPr>
              <w:t>for the purpose of</w:t>
            </w:r>
            <w:proofErr w:type="gramEnd"/>
            <w:r w:rsidRPr="00C41540">
              <w:rPr>
                <w:rFonts w:ascii="Times New Roman" w:hAnsi="Times New Roman" w:cs="Times New Roman"/>
              </w:rPr>
              <w:t xml:space="preserve"> that section. </w:t>
            </w: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r w:rsidR="00C41540" w:rsidRPr="00C41540" w:rsidTr="00F263FC">
        <w:tc>
          <w:tcPr>
            <w:tcW w:w="681" w:type="dxa"/>
          </w:tcPr>
          <w:p w:rsidR="00C41540" w:rsidRPr="00C41540" w:rsidRDefault="00C41540" w:rsidP="00C41540">
            <w:pPr>
              <w:ind w:right="-46"/>
              <w:jc w:val="both"/>
              <w:rPr>
                <w:rFonts w:ascii="Times New Roman" w:hAnsi="Times New Roman" w:cs="Times New Roman"/>
              </w:rPr>
            </w:pPr>
          </w:p>
        </w:tc>
        <w:tc>
          <w:tcPr>
            <w:tcW w:w="2681" w:type="dxa"/>
          </w:tcPr>
          <w:p w:rsidR="00C41540" w:rsidRPr="00C41540" w:rsidRDefault="00C41540" w:rsidP="00C41540">
            <w:pPr>
              <w:ind w:right="-46"/>
              <w:jc w:val="both"/>
              <w:rPr>
                <w:rFonts w:ascii="Times New Roman" w:hAnsi="Times New Roman" w:cs="Times New Roman"/>
              </w:rPr>
            </w:pPr>
          </w:p>
        </w:tc>
        <w:tc>
          <w:tcPr>
            <w:tcW w:w="7582" w:type="dxa"/>
          </w:tcPr>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r w:rsidRPr="00C41540">
              <w:rPr>
                <w:rFonts w:ascii="Times New Roman" w:hAnsi="Times New Roman" w:cs="Times New Roman"/>
              </w:rPr>
              <w:t xml:space="preserve">(8) The remaining provisions of the Act shall come into force eighteen months from the notified date. </w:t>
            </w:r>
          </w:p>
          <w:p w:rsidR="00C41540" w:rsidRPr="00C41540" w:rsidRDefault="00C41540" w:rsidP="00C41540">
            <w:pPr>
              <w:ind w:right="-46"/>
              <w:jc w:val="both"/>
              <w:rPr>
                <w:rFonts w:ascii="Times New Roman" w:hAnsi="Times New Roman" w:cs="Times New Roman"/>
              </w:rPr>
            </w:pPr>
          </w:p>
        </w:tc>
        <w:tc>
          <w:tcPr>
            <w:tcW w:w="3793" w:type="dxa"/>
          </w:tcPr>
          <w:p w:rsidR="00C41540" w:rsidRPr="00C41540" w:rsidRDefault="00C41540" w:rsidP="00C41540">
            <w:pPr>
              <w:ind w:right="-46"/>
              <w:jc w:val="both"/>
              <w:rPr>
                <w:rFonts w:ascii="Times New Roman" w:hAnsi="Times New Roman" w:cs="Times New Roman"/>
              </w:rPr>
            </w:pPr>
          </w:p>
        </w:tc>
      </w:tr>
    </w:tbl>
    <w:p w:rsidR="00C41540" w:rsidRPr="00C41540" w:rsidRDefault="00C41540" w:rsidP="00C41540">
      <w:pPr>
        <w:ind w:right="-46"/>
        <w:jc w:val="both"/>
        <w:rPr>
          <w:rFonts w:ascii="Times New Roman" w:hAnsi="Times New Roman" w:cs="Times New Roman"/>
        </w:rPr>
      </w:pPr>
    </w:p>
    <w:p w:rsidR="00C41540" w:rsidRPr="00C41540" w:rsidRDefault="00C41540" w:rsidP="00C41540">
      <w:pPr>
        <w:ind w:right="-46"/>
        <w:jc w:val="both"/>
        <w:rPr>
          <w:rFonts w:ascii="Times New Roman" w:hAnsi="Times New Roman" w:cs="Times New Roman"/>
        </w:rPr>
      </w:pPr>
    </w:p>
    <w:p w:rsidR="00C41540" w:rsidRPr="00C41540" w:rsidRDefault="00C41540" w:rsidP="00C41540"/>
    <w:p w:rsidR="00880615" w:rsidRPr="00C41540" w:rsidRDefault="00880615" w:rsidP="00880615">
      <w:pPr>
        <w:ind w:right="-46"/>
        <w:jc w:val="both"/>
        <w:rPr>
          <w:rFonts w:ascii="Times New Roman" w:hAnsi="Times New Roman" w:cs="Times New Roman"/>
          <w:i/>
          <w:lang w:val="en-US"/>
        </w:rPr>
      </w:pPr>
      <w:r w:rsidRPr="00C41540">
        <w:rPr>
          <w:rFonts w:ascii="Times New Roman" w:hAnsi="Times New Roman" w:cs="Times New Roman"/>
          <w:b/>
          <w:lang w:val="en-US"/>
        </w:rPr>
        <w:t>NOTE:</w:t>
      </w:r>
      <w:r w:rsidRPr="00C41540">
        <w:rPr>
          <w:rFonts w:ascii="Times New Roman" w:hAnsi="Times New Roman" w:cs="Times New Roman"/>
          <w:i/>
          <w:lang w:val="en-US"/>
        </w:rPr>
        <w:t xml:space="preserve"> We will be referring to your responses for further research and analysis and may use some of the positions in preparing advocacy materials. The responses to this questionnaire will be treated as strictly confidential and anonymized.</w:t>
      </w:r>
    </w:p>
    <w:p w:rsidR="00C41540" w:rsidRDefault="00C41540" w:rsidP="00C41540"/>
    <w:p w:rsidR="00880615" w:rsidRDefault="00880615" w:rsidP="00C41540">
      <w:pPr>
        <w:pBdr>
          <w:bottom w:val="single" w:sz="6" w:space="1" w:color="auto"/>
        </w:pBdr>
      </w:pPr>
    </w:p>
    <w:p w:rsidR="00880615" w:rsidRPr="00C41540" w:rsidRDefault="00880615" w:rsidP="00C41540">
      <w:bookmarkStart w:id="0" w:name="_GoBack"/>
      <w:bookmarkEnd w:id="0"/>
    </w:p>
    <w:sectPr w:rsidR="00880615" w:rsidRPr="00C41540" w:rsidSect="00C41540">
      <w:headerReference w:type="default" r:id="rId8"/>
      <w:pgSz w:w="17282" w:h="25923" w:code="4446"/>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2CD6" w:rsidRDefault="00802CD6" w:rsidP="00ED4D10">
      <w:pPr>
        <w:spacing w:after="0" w:line="240" w:lineRule="auto"/>
      </w:pPr>
      <w:r>
        <w:separator/>
      </w:r>
    </w:p>
  </w:endnote>
  <w:endnote w:type="continuationSeparator" w:id="0">
    <w:p w:rsidR="00802CD6" w:rsidRDefault="00802CD6" w:rsidP="00ED4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2CD6" w:rsidRDefault="00802CD6" w:rsidP="00ED4D10">
      <w:pPr>
        <w:spacing w:after="0" w:line="240" w:lineRule="auto"/>
      </w:pPr>
      <w:r>
        <w:separator/>
      </w:r>
    </w:p>
  </w:footnote>
  <w:footnote w:type="continuationSeparator" w:id="0">
    <w:p w:rsidR="00802CD6" w:rsidRDefault="00802CD6" w:rsidP="00ED4D10">
      <w:pPr>
        <w:spacing w:after="0" w:line="240" w:lineRule="auto"/>
      </w:pPr>
      <w:r>
        <w:continuationSeparator/>
      </w:r>
    </w:p>
  </w:footnote>
  <w:footnote w:id="1">
    <w:p w:rsidR="00C41540" w:rsidRDefault="00C41540" w:rsidP="00C41540">
      <w:pPr>
        <w:pStyle w:val="FootnoteText"/>
        <w:ind w:left="284" w:hanging="284"/>
        <w:jc w:val="both"/>
        <w:rPr>
          <w:rFonts w:ascii="Arial" w:hAnsi="Arial" w:cs="Arial"/>
        </w:rPr>
      </w:pPr>
      <w:r>
        <w:rPr>
          <w:rStyle w:val="FootnoteReference"/>
          <w:rFonts w:ascii="Arial" w:hAnsi="Arial" w:cs="Arial"/>
        </w:rPr>
        <w:footnoteRef/>
      </w:r>
      <w:r>
        <w:rPr>
          <w:rFonts w:ascii="Arial" w:hAnsi="Arial" w:cs="Arial"/>
        </w:rPr>
        <w:t xml:space="preserve"> </w:t>
      </w:r>
      <w:r>
        <w:rPr>
          <w:rFonts w:ascii="Arial" w:hAnsi="Arial" w:cs="Arial"/>
        </w:rPr>
        <w:tab/>
        <w:t>Response is optional</w:t>
      </w:r>
    </w:p>
  </w:footnote>
  <w:footnote w:id="2">
    <w:p w:rsidR="00C41540" w:rsidRDefault="00C41540" w:rsidP="00C41540">
      <w:pPr>
        <w:pStyle w:val="FootnoteText"/>
        <w:ind w:left="284" w:hanging="284"/>
        <w:rPr>
          <w:rFonts w:ascii="Arial" w:hAnsi="Arial" w:cs="Arial"/>
        </w:rPr>
      </w:pPr>
      <w:r>
        <w:rPr>
          <w:rStyle w:val="FootnoteReference"/>
          <w:rFonts w:ascii="Arial" w:hAnsi="Arial" w:cs="Arial"/>
        </w:rPr>
        <w:footnoteRef/>
      </w:r>
      <w:r>
        <w:rPr>
          <w:rFonts w:ascii="Arial" w:hAnsi="Arial" w:cs="Arial"/>
        </w:rPr>
        <w:t xml:space="preserve"> </w:t>
      </w:r>
      <w:r>
        <w:rPr>
          <w:rFonts w:ascii="Arial" w:hAnsi="Arial" w:cs="Arial"/>
        </w:rPr>
        <w:tab/>
        <w:t xml:space="preserve">To the extent possible, kindly respond to these questions in the context of your business, products, services and customers. </w:t>
      </w:r>
    </w:p>
    <w:p w:rsidR="00C41540" w:rsidRDefault="00C41540" w:rsidP="00C41540">
      <w:pPr>
        <w:pStyle w:val="FootnoteText"/>
        <w:ind w:left="284" w:hanging="284"/>
        <w:rPr>
          <w:rFonts w:ascii="Arial" w:hAnsi="Arial" w:cs="Arial"/>
        </w:rPr>
      </w:pPr>
    </w:p>
  </w:footnote>
  <w:footnote w:id="3">
    <w:p w:rsidR="00C41540" w:rsidRDefault="00C41540" w:rsidP="00C41540">
      <w:pPr>
        <w:pStyle w:val="FootnoteText"/>
        <w:ind w:left="284" w:hanging="284"/>
        <w:jc w:val="both"/>
        <w:rPr>
          <w:rFonts w:ascii="Arial" w:hAnsi="Arial" w:cs="Arial"/>
        </w:rPr>
      </w:pPr>
      <w:r>
        <w:rPr>
          <w:rStyle w:val="FootnoteReference"/>
          <w:rFonts w:ascii="Arial" w:hAnsi="Arial" w:cs="Arial"/>
        </w:rPr>
        <w:footnoteRef/>
      </w:r>
      <w:r>
        <w:rPr>
          <w:rFonts w:ascii="Arial" w:hAnsi="Arial" w:cs="Arial"/>
        </w:rPr>
        <w:t xml:space="preserve"> </w:t>
      </w:r>
      <w:r>
        <w:rPr>
          <w:rFonts w:ascii="Arial" w:hAnsi="Arial" w:cs="Arial"/>
        </w:rPr>
        <w:tab/>
        <w:t xml:space="preserve">Refer also to the expansive definition of “harm” under the Bill, which might impact an enterprises ability to utilize platform data as such.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1540" w:rsidRDefault="00C41540" w:rsidP="006D74BD">
    <w:pPr>
      <w:tabs>
        <w:tab w:val="center" w:pos="4680"/>
        <w:tab w:val="right" w:pos="9360"/>
      </w:tabs>
      <w:spacing w:after="0" w:line="240" w:lineRule="auto"/>
      <w:rPr>
        <w:rFonts w:ascii="Calibri" w:eastAsia="Calibri" w:hAnsi="Calibri" w:cs="Times New Roman"/>
        <w:lang w:val="en-US"/>
      </w:rPr>
    </w:pPr>
    <w:r w:rsidRPr="006D74BD">
      <w:rPr>
        <w:rFonts w:ascii="Calibri" w:eastAsia="Calibri" w:hAnsi="Calibri" w:cs="Times New Roman"/>
        <w:noProof/>
        <w:lang w:val="en-US"/>
      </w:rPr>
      <w:drawing>
        <wp:anchor distT="0" distB="0" distL="114300" distR="114300" simplePos="0" relativeHeight="251659264" behindDoc="1" locked="0" layoutInCell="1" allowOverlap="1" wp14:anchorId="425B391D">
          <wp:simplePos x="0" y="0"/>
          <wp:positionH relativeFrom="column">
            <wp:posOffset>8077200</wp:posOffset>
          </wp:positionH>
          <wp:positionV relativeFrom="paragraph">
            <wp:posOffset>-59055</wp:posOffset>
          </wp:positionV>
          <wp:extent cx="1228725" cy="375285"/>
          <wp:effectExtent l="0" t="0" r="9525" b="5715"/>
          <wp:wrapSquare wrapText="bothSides"/>
          <wp:docPr id="1" name="Picture 0" descr="DSCI_LOGO_Separat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I_LOGO_Separate1.jpg"/>
                  <pic:cNvPicPr/>
                </pic:nvPicPr>
                <pic:blipFill>
                  <a:blip r:embed="rId1">
                    <a:extLst>
                      <a:ext uri="{28A0092B-C50C-407E-A947-70E740481C1C}">
                        <a14:useLocalDpi xmlns:a14="http://schemas.microsoft.com/office/drawing/2010/main" val="0"/>
                      </a:ext>
                    </a:extLst>
                  </a:blip>
                  <a:stretch>
                    <a:fillRect/>
                  </a:stretch>
                </pic:blipFill>
                <pic:spPr>
                  <a:xfrm>
                    <a:off x="0" y="0"/>
                    <a:ext cx="1228725" cy="375285"/>
                  </a:xfrm>
                  <a:prstGeom prst="rect">
                    <a:avLst/>
                  </a:prstGeom>
                </pic:spPr>
              </pic:pic>
            </a:graphicData>
          </a:graphic>
        </wp:anchor>
      </w:drawing>
    </w:r>
    <w:r w:rsidR="006D74BD" w:rsidRPr="006D74BD">
      <w:rPr>
        <w:rFonts w:ascii="Calibri" w:eastAsia="Calibri" w:hAnsi="Calibri" w:cs="Times New Roman"/>
        <w:lang w:val="en-US"/>
      </w:rPr>
      <w:t xml:space="preserve">        </w:t>
    </w:r>
    <w:r w:rsidRPr="00C41540">
      <w:rPr>
        <w:rFonts w:ascii="Calibri" w:eastAsia="Calibri" w:hAnsi="Calibri" w:cs="Times New Roman"/>
        <w:noProof/>
        <w:lang w:val="en-US"/>
      </w:rPr>
      <w:drawing>
        <wp:anchor distT="0" distB="0" distL="114300" distR="114300" simplePos="0" relativeHeight="251658240" behindDoc="1" locked="0" layoutInCell="1" allowOverlap="1" wp14:anchorId="586920D9">
          <wp:simplePos x="0" y="0"/>
          <wp:positionH relativeFrom="column">
            <wp:posOffset>257175</wp:posOffset>
          </wp:positionH>
          <wp:positionV relativeFrom="paragraph">
            <wp:posOffset>-1905</wp:posOffset>
          </wp:positionV>
          <wp:extent cx="1736725" cy="247650"/>
          <wp:effectExtent l="0" t="0" r="0" b="0"/>
          <wp:wrapTight wrapText="bothSides">
            <wp:wrapPolygon edited="0">
              <wp:start x="0" y="0"/>
              <wp:lineTo x="0" y="19938"/>
              <wp:lineTo x="21324" y="19938"/>
              <wp:lineTo x="2132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36725" cy="247650"/>
                  </a:xfrm>
                  <a:prstGeom prst="rect">
                    <a:avLst/>
                  </a:prstGeom>
                  <a:noFill/>
                  <a:ln>
                    <a:noFill/>
                  </a:ln>
                </pic:spPr>
              </pic:pic>
            </a:graphicData>
          </a:graphic>
        </wp:anchor>
      </w:drawing>
    </w:r>
    <w:r w:rsidR="006D74BD" w:rsidRPr="006D74BD">
      <w:rPr>
        <w:rFonts w:ascii="Calibri" w:eastAsia="Calibri" w:hAnsi="Calibri" w:cs="Times New Roman"/>
        <w:lang w:val="en-US"/>
      </w:rPr>
      <w:t xml:space="preserve">                                                                                      </w:t>
    </w:r>
    <w:r>
      <w:rPr>
        <w:rFonts w:ascii="Calibri" w:eastAsia="Calibri" w:hAnsi="Calibri" w:cs="Times New Roman"/>
        <w:lang w:val="en-US"/>
      </w:rPr>
      <w:t xml:space="preserve">                                                                                                             </w:t>
    </w:r>
    <w:r w:rsidR="006D74BD" w:rsidRPr="006D74BD">
      <w:rPr>
        <w:rFonts w:ascii="Calibri" w:eastAsia="Calibri" w:hAnsi="Calibri" w:cs="Times New Roman"/>
        <w:lang w:val="en-US"/>
      </w:rPr>
      <w:t xml:space="preserve"> </w:t>
    </w:r>
    <w:r>
      <w:rPr>
        <w:rFonts w:ascii="Calibri" w:eastAsia="Calibri" w:hAnsi="Calibri" w:cs="Times New Roman"/>
        <w:lang w:val="en-US"/>
      </w:rPr>
      <w:t xml:space="preserve">                   </w:t>
    </w:r>
  </w:p>
  <w:p w:rsidR="00C41540" w:rsidRDefault="00C41540" w:rsidP="006D74BD">
    <w:pPr>
      <w:tabs>
        <w:tab w:val="center" w:pos="4680"/>
        <w:tab w:val="right" w:pos="9360"/>
      </w:tabs>
      <w:spacing w:after="0" w:line="240" w:lineRule="auto"/>
      <w:rPr>
        <w:rFonts w:ascii="Calibri" w:eastAsia="Calibri" w:hAnsi="Calibri" w:cs="Times New Roman"/>
        <w:lang w:val="en-US"/>
      </w:rPr>
    </w:pPr>
  </w:p>
  <w:p w:rsidR="006D74BD" w:rsidRPr="006D74BD" w:rsidRDefault="00C41540" w:rsidP="00C41540">
    <w:pPr>
      <w:tabs>
        <w:tab w:val="center" w:pos="4680"/>
        <w:tab w:val="right" w:pos="9360"/>
      </w:tabs>
      <w:spacing w:after="0" w:line="240" w:lineRule="auto"/>
      <w:jc w:val="right"/>
      <w:rPr>
        <w:rFonts w:ascii="Calibri" w:eastAsia="Calibri" w:hAnsi="Calibri" w:cs="Times New Roman"/>
        <w:lang w:val="en-US"/>
      </w:rPr>
    </w:pPr>
    <w:r>
      <w:rPr>
        <w:rFonts w:ascii="Calibri" w:eastAsia="Calibri" w:hAnsi="Calibri" w:cs="Times New Roman"/>
        <w:lang w:val="en-US"/>
      </w:rPr>
      <w:t xml:space="preserve">                                                                                       </w:t>
    </w:r>
  </w:p>
  <w:p w:rsidR="006D74BD" w:rsidRDefault="006D74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83303"/>
    <w:multiLevelType w:val="hybridMultilevel"/>
    <w:tmpl w:val="904E886A"/>
    <w:lvl w:ilvl="0" w:tplc="87EA9988">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78379F9"/>
    <w:multiLevelType w:val="hybridMultilevel"/>
    <w:tmpl w:val="8B7EFCB6"/>
    <w:lvl w:ilvl="0" w:tplc="4E4C46A4">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15:restartNumberingAfterBreak="0">
    <w:nsid w:val="27884CB5"/>
    <w:multiLevelType w:val="hybridMultilevel"/>
    <w:tmpl w:val="E402B0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9B4239E"/>
    <w:multiLevelType w:val="hybridMultilevel"/>
    <w:tmpl w:val="6054DA9E"/>
    <w:lvl w:ilvl="0" w:tplc="40090001">
      <w:start w:val="1"/>
      <w:numFmt w:val="bullet"/>
      <w:lvlText w:val=""/>
      <w:lvlJc w:val="left"/>
      <w:pPr>
        <w:ind w:left="450" w:hanging="360"/>
      </w:pPr>
      <w:rPr>
        <w:rFonts w:ascii="Symbol" w:hAnsi="Symbol" w:hint="default"/>
      </w:rPr>
    </w:lvl>
    <w:lvl w:ilvl="1" w:tplc="40090003">
      <w:start w:val="1"/>
      <w:numFmt w:val="bullet"/>
      <w:lvlText w:val="o"/>
      <w:lvlJc w:val="left"/>
      <w:pPr>
        <w:ind w:left="1170" w:hanging="360"/>
      </w:pPr>
      <w:rPr>
        <w:rFonts w:ascii="Courier New" w:hAnsi="Courier New" w:cs="Courier New" w:hint="default"/>
      </w:rPr>
    </w:lvl>
    <w:lvl w:ilvl="2" w:tplc="40090005" w:tentative="1">
      <w:start w:val="1"/>
      <w:numFmt w:val="bullet"/>
      <w:lvlText w:val=""/>
      <w:lvlJc w:val="left"/>
      <w:pPr>
        <w:ind w:left="1890" w:hanging="360"/>
      </w:pPr>
      <w:rPr>
        <w:rFonts w:ascii="Wingdings" w:hAnsi="Wingdings" w:hint="default"/>
      </w:rPr>
    </w:lvl>
    <w:lvl w:ilvl="3" w:tplc="40090001" w:tentative="1">
      <w:start w:val="1"/>
      <w:numFmt w:val="bullet"/>
      <w:lvlText w:val=""/>
      <w:lvlJc w:val="left"/>
      <w:pPr>
        <w:ind w:left="2610" w:hanging="360"/>
      </w:pPr>
      <w:rPr>
        <w:rFonts w:ascii="Symbol" w:hAnsi="Symbol" w:hint="default"/>
      </w:rPr>
    </w:lvl>
    <w:lvl w:ilvl="4" w:tplc="40090003" w:tentative="1">
      <w:start w:val="1"/>
      <w:numFmt w:val="bullet"/>
      <w:lvlText w:val="o"/>
      <w:lvlJc w:val="left"/>
      <w:pPr>
        <w:ind w:left="3330" w:hanging="360"/>
      </w:pPr>
      <w:rPr>
        <w:rFonts w:ascii="Courier New" w:hAnsi="Courier New" w:cs="Courier New" w:hint="default"/>
      </w:rPr>
    </w:lvl>
    <w:lvl w:ilvl="5" w:tplc="40090005" w:tentative="1">
      <w:start w:val="1"/>
      <w:numFmt w:val="bullet"/>
      <w:lvlText w:val=""/>
      <w:lvlJc w:val="left"/>
      <w:pPr>
        <w:ind w:left="4050" w:hanging="360"/>
      </w:pPr>
      <w:rPr>
        <w:rFonts w:ascii="Wingdings" w:hAnsi="Wingdings" w:hint="default"/>
      </w:rPr>
    </w:lvl>
    <w:lvl w:ilvl="6" w:tplc="40090001" w:tentative="1">
      <w:start w:val="1"/>
      <w:numFmt w:val="bullet"/>
      <w:lvlText w:val=""/>
      <w:lvlJc w:val="left"/>
      <w:pPr>
        <w:ind w:left="4770" w:hanging="360"/>
      </w:pPr>
      <w:rPr>
        <w:rFonts w:ascii="Symbol" w:hAnsi="Symbol" w:hint="default"/>
      </w:rPr>
    </w:lvl>
    <w:lvl w:ilvl="7" w:tplc="40090003" w:tentative="1">
      <w:start w:val="1"/>
      <w:numFmt w:val="bullet"/>
      <w:lvlText w:val="o"/>
      <w:lvlJc w:val="left"/>
      <w:pPr>
        <w:ind w:left="5490" w:hanging="360"/>
      </w:pPr>
      <w:rPr>
        <w:rFonts w:ascii="Courier New" w:hAnsi="Courier New" w:cs="Courier New" w:hint="default"/>
      </w:rPr>
    </w:lvl>
    <w:lvl w:ilvl="8" w:tplc="40090005" w:tentative="1">
      <w:start w:val="1"/>
      <w:numFmt w:val="bullet"/>
      <w:lvlText w:val=""/>
      <w:lvlJc w:val="left"/>
      <w:pPr>
        <w:ind w:left="6210" w:hanging="360"/>
      </w:pPr>
      <w:rPr>
        <w:rFonts w:ascii="Wingdings" w:hAnsi="Wingdings" w:hint="default"/>
      </w:rPr>
    </w:lvl>
  </w:abstractNum>
  <w:abstractNum w:abstractNumId="4" w15:restartNumberingAfterBreak="0">
    <w:nsid w:val="4B1B07C5"/>
    <w:multiLevelType w:val="hybridMultilevel"/>
    <w:tmpl w:val="67884F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C8728C9"/>
    <w:multiLevelType w:val="hybridMultilevel"/>
    <w:tmpl w:val="E402B0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8095EEE"/>
    <w:multiLevelType w:val="hybridMultilevel"/>
    <w:tmpl w:val="D6B44566"/>
    <w:lvl w:ilvl="0" w:tplc="40090001">
      <w:start w:val="1"/>
      <w:numFmt w:val="bullet"/>
      <w:lvlText w:val=""/>
      <w:lvlJc w:val="left"/>
      <w:pPr>
        <w:ind w:left="459" w:hanging="360"/>
      </w:pPr>
      <w:rPr>
        <w:rFonts w:ascii="Symbol" w:hAnsi="Symbol" w:hint="default"/>
      </w:rPr>
    </w:lvl>
    <w:lvl w:ilvl="1" w:tplc="40090003">
      <w:start w:val="1"/>
      <w:numFmt w:val="bullet"/>
      <w:lvlText w:val="o"/>
      <w:lvlJc w:val="left"/>
      <w:pPr>
        <w:ind w:left="1179" w:hanging="360"/>
      </w:pPr>
      <w:rPr>
        <w:rFonts w:ascii="Courier New" w:hAnsi="Courier New" w:cs="Courier New" w:hint="default"/>
      </w:rPr>
    </w:lvl>
    <w:lvl w:ilvl="2" w:tplc="40090005">
      <w:start w:val="1"/>
      <w:numFmt w:val="bullet"/>
      <w:lvlText w:val=""/>
      <w:lvlJc w:val="left"/>
      <w:pPr>
        <w:ind w:left="1899" w:hanging="360"/>
      </w:pPr>
      <w:rPr>
        <w:rFonts w:ascii="Wingdings" w:hAnsi="Wingdings" w:hint="default"/>
      </w:rPr>
    </w:lvl>
    <w:lvl w:ilvl="3" w:tplc="40090001">
      <w:start w:val="1"/>
      <w:numFmt w:val="bullet"/>
      <w:lvlText w:val=""/>
      <w:lvlJc w:val="left"/>
      <w:pPr>
        <w:ind w:left="2619" w:hanging="360"/>
      </w:pPr>
      <w:rPr>
        <w:rFonts w:ascii="Symbol" w:hAnsi="Symbol" w:hint="default"/>
      </w:rPr>
    </w:lvl>
    <w:lvl w:ilvl="4" w:tplc="40090003" w:tentative="1">
      <w:start w:val="1"/>
      <w:numFmt w:val="bullet"/>
      <w:lvlText w:val="o"/>
      <w:lvlJc w:val="left"/>
      <w:pPr>
        <w:ind w:left="3339" w:hanging="360"/>
      </w:pPr>
      <w:rPr>
        <w:rFonts w:ascii="Courier New" w:hAnsi="Courier New" w:cs="Courier New" w:hint="default"/>
      </w:rPr>
    </w:lvl>
    <w:lvl w:ilvl="5" w:tplc="40090005" w:tentative="1">
      <w:start w:val="1"/>
      <w:numFmt w:val="bullet"/>
      <w:lvlText w:val=""/>
      <w:lvlJc w:val="left"/>
      <w:pPr>
        <w:ind w:left="4059" w:hanging="360"/>
      </w:pPr>
      <w:rPr>
        <w:rFonts w:ascii="Wingdings" w:hAnsi="Wingdings" w:hint="default"/>
      </w:rPr>
    </w:lvl>
    <w:lvl w:ilvl="6" w:tplc="40090001" w:tentative="1">
      <w:start w:val="1"/>
      <w:numFmt w:val="bullet"/>
      <w:lvlText w:val=""/>
      <w:lvlJc w:val="left"/>
      <w:pPr>
        <w:ind w:left="4779" w:hanging="360"/>
      </w:pPr>
      <w:rPr>
        <w:rFonts w:ascii="Symbol" w:hAnsi="Symbol" w:hint="default"/>
      </w:rPr>
    </w:lvl>
    <w:lvl w:ilvl="7" w:tplc="40090003" w:tentative="1">
      <w:start w:val="1"/>
      <w:numFmt w:val="bullet"/>
      <w:lvlText w:val="o"/>
      <w:lvlJc w:val="left"/>
      <w:pPr>
        <w:ind w:left="5499" w:hanging="360"/>
      </w:pPr>
      <w:rPr>
        <w:rFonts w:ascii="Courier New" w:hAnsi="Courier New" w:cs="Courier New" w:hint="default"/>
      </w:rPr>
    </w:lvl>
    <w:lvl w:ilvl="8" w:tplc="40090005" w:tentative="1">
      <w:start w:val="1"/>
      <w:numFmt w:val="bullet"/>
      <w:lvlText w:val=""/>
      <w:lvlJc w:val="left"/>
      <w:pPr>
        <w:ind w:left="6219" w:hanging="360"/>
      </w:pPr>
      <w:rPr>
        <w:rFonts w:ascii="Wingdings" w:hAnsi="Wingdings" w:hint="default"/>
      </w:rPr>
    </w:lvl>
  </w:abstractNum>
  <w:abstractNum w:abstractNumId="7" w15:restartNumberingAfterBreak="0">
    <w:nsid w:val="7FA82206"/>
    <w:multiLevelType w:val="hybridMultilevel"/>
    <w:tmpl w:val="02B2B1C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3"/>
  </w:num>
  <w:num w:numId="4">
    <w:abstractNumId w:val="6"/>
  </w:num>
  <w:num w:numId="5">
    <w:abstractNumId w:val="1"/>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047"/>
    <w:rsid w:val="00012515"/>
    <w:rsid w:val="000409D5"/>
    <w:rsid w:val="0015579E"/>
    <w:rsid w:val="001C1461"/>
    <w:rsid w:val="003369F5"/>
    <w:rsid w:val="003D3D1D"/>
    <w:rsid w:val="0047502C"/>
    <w:rsid w:val="00572278"/>
    <w:rsid w:val="006D74BD"/>
    <w:rsid w:val="00720773"/>
    <w:rsid w:val="00737C21"/>
    <w:rsid w:val="0075597E"/>
    <w:rsid w:val="00770659"/>
    <w:rsid w:val="00802CD6"/>
    <w:rsid w:val="00837C6B"/>
    <w:rsid w:val="00862FD5"/>
    <w:rsid w:val="00877687"/>
    <w:rsid w:val="00880615"/>
    <w:rsid w:val="008928D1"/>
    <w:rsid w:val="008B0F48"/>
    <w:rsid w:val="008F591C"/>
    <w:rsid w:val="00927137"/>
    <w:rsid w:val="00A26A9B"/>
    <w:rsid w:val="00A765B6"/>
    <w:rsid w:val="00B7618E"/>
    <w:rsid w:val="00C41540"/>
    <w:rsid w:val="00D56047"/>
    <w:rsid w:val="00D97D1C"/>
    <w:rsid w:val="00DF2500"/>
    <w:rsid w:val="00E61E79"/>
    <w:rsid w:val="00E97C3F"/>
    <w:rsid w:val="00ED4D10"/>
    <w:rsid w:val="00F76C7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35EAE9"/>
  <w15:chartTrackingRefBased/>
  <w15:docId w15:val="{1851A49E-7A51-4DF9-AE6C-54FBDAD2E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7137"/>
    <w:pPr>
      <w:ind w:left="720"/>
      <w:contextualSpacing/>
    </w:pPr>
  </w:style>
  <w:style w:type="paragraph" w:styleId="FootnoteText">
    <w:name w:val="footnote text"/>
    <w:basedOn w:val="Normal"/>
    <w:link w:val="FootnoteTextChar"/>
    <w:uiPriority w:val="99"/>
    <w:semiHidden/>
    <w:unhideWhenUsed/>
    <w:rsid w:val="00ED4D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4D10"/>
    <w:rPr>
      <w:sz w:val="20"/>
      <w:szCs w:val="20"/>
    </w:rPr>
  </w:style>
  <w:style w:type="character" w:styleId="FootnoteReference">
    <w:name w:val="footnote reference"/>
    <w:basedOn w:val="DefaultParagraphFont"/>
    <w:uiPriority w:val="99"/>
    <w:semiHidden/>
    <w:unhideWhenUsed/>
    <w:rsid w:val="00ED4D10"/>
    <w:rPr>
      <w:vertAlign w:val="superscript"/>
    </w:rPr>
  </w:style>
  <w:style w:type="character" w:styleId="Hyperlink">
    <w:name w:val="Hyperlink"/>
    <w:basedOn w:val="DefaultParagraphFont"/>
    <w:uiPriority w:val="99"/>
    <w:unhideWhenUsed/>
    <w:rsid w:val="00ED4D10"/>
    <w:rPr>
      <w:color w:val="0563C1" w:themeColor="hyperlink"/>
      <w:u w:val="single"/>
    </w:rPr>
  </w:style>
  <w:style w:type="character" w:styleId="UnresolvedMention">
    <w:name w:val="Unresolved Mention"/>
    <w:basedOn w:val="DefaultParagraphFont"/>
    <w:uiPriority w:val="99"/>
    <w:semiHidden/>
    <w:unhideWhenUsed/>
    <w:rsid w:val="00ED4D10"/>
    <w:rPr>
      <w:color w:val="808080"/>
      <w:shd w:val="clear" w:color="auto" w:fill="E6E6E6"/>
    </w:rPr>
  </w:style>
  <w:style w:type="paragraph" w:styleId="Header">
    <w:name w:val="header"/>
    <w:basedOn w:val="Normal"/>
    <w:link w:val="HeaderChar"/>
    <w:uiPriority w:val="99"/>
    <w:unhideWhenUsed/>
    <w:rsid w:val="006D74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74BD"/>
  </w:style>
  <w:style w:type="paragraph" w:styleId="Footer">
    <w:name w:val="footer"/>
    <w:basedOn w:val="Normal"/>
    <w:link w:val="FooterChar"/>
    <w:uiPriority w:val="99"/>
    <w:unhideWhenUsed/>
    <w:rsid w:val="006D74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74BD"/>
  </w:style>
  <w:style w:type="table" w:styleId="TableGrid">
    <w:name w:val="Table Grid"/>
    <w:basedOn w:val="TableNormal"/>
    <w:uiPriority w:val="39"/>
    <w:rsid w:val="00C415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A81BB-609B-4CF0-9943-A95DD4C27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3853</Words>
  <Characters>21967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Anand Krishnan (DSCI)</dc:creator>
  <cp:keywords/>
  <dc:description/>
  <cp:lastModifiedBy>Anand Krishnan (DSCI)</cp:lastModifiedBy>
  <cp:revision>6</cp:revision>
  <dcterms:created xsi:type="dcterms:W3CDTF">2018-08-16T03:37:00Z</dcterms:created>
  <dcterms:modified xsi:type="dcterms:W3CDTF">2018-08-16T03:45:00Z</dcterms:modified>
</cp:coreProperties>
</file>